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ind w:hanging="2" w:left="0"/>
        <w:jc w:val="center"/>
        <w:rPr>
          <w:rFonts w:eastAsia="Merriweather"/>
          <w:b/>
          <w:sz w:val="30"/>
          <w:szCs w:val="30"/>
        </w:rPr>
      </w:pPr>
      <w:r>
        <w:rPr>
          <w:rFonts w:eastAsia="Merriweather"/>
          <w:b/>
          <w:sz w:val="30"/>
          <w:szCs w:val="30"/>
        </w:rPr>
        <mc:AlternateContent>
          <mc:Choice Requires="wps">
            <w:drawing>
              <wp:anchor behindDoc="0" distT="0" distB="0" distL="0" distR="0" simplePos="0" locked="0" layoutInCell="1" allowOverlap="1" relativeHeight="48">
                <wp:simplePos x="0" y="0"/>
                <wp:positionH relativeFrom="column">
                  <wp:posOffset>635</wp:posOffset>
                </wp:positionH>
                <wp:positionV relativeFrom="paragraph">
                  <wp:posOffset>635</wp:posOffset>
                </wp:positionV>
                <wp:extent cx="635000" cy="635000"/>
                <wp:effectExtent l="0" t="0" r="0" b="0"/>
                <wp:wrapNone/>
                <wp:docPr id="1" name="Forma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Forma1" path="m0,0l-2147483645,0l-2147483645,-2147483646l0,-2147483646xe" stroked="f" o:allowincell="f" style="position:absolute;margin-left:0.05pt;margin-top:0.05pt;width:49.95pt;height:49.95pt;mso-wrap-style:none;v-text-anchor:middle">
                <v:fill o:detectmouseclick="t" on="false"/>
                <v:stroke color="#3465a4" joinstyle="round" endcap="flat"/>
                <w10:wrap type="none"/>
              </v:rect>
            </w:pict>
          </mc:Fallback>
        </mc:AlternateContent>
      </w:r>
    </w:p>
    <w:p>
      <w:pPr>
        <w:pStyle w:val="Normal"/>
        <w:widowControl w:val="false"/>
        <w:spacing w:lineRule="auto" w:line="360"/>
        <w:ind w:hanging="2" w:left="0"/>
        <w:jc w:val="center"/>
        <w:rPr>
          <w:u w:val="single"/>
        </w:rPr>
      </w:pPr>
      <w:r>
        <w:rPr>
          <w:rFonts w:eastAsia="Merriweather"/>
          <w:b/>
          <w:sz w:val="36"/>
          <w:szCs w:val="36"/>
          <w:u w:val="single"/>
        </w:rPr>
        <w:t>TERMO DE REFERÊNCIA</w:t>
      </w:r>
    </w:p>
    <w:p>
      <w:pPr>
        <w:pStyle w:val="Normal"/>
        <w:widowControl w:val="false"/>
        <w:spacing w:lineRule="auto" w:line="360"/>
        <w:ind w:hanging="2" w:left="0"/>
        <w:jc w:val="center"/>
        <w:rPr>
          <w:u w:val="single"/>
        </w:rPr>
      </w:pPr>
      <w:r>
        <w:rPr>
          <w:rFonts w:eastAsia="Merriweather"/>
        </w:rPr>
        <w:t xml:space="preserve">(Portaria Conjunta nº 33/2023 – Art 10, Inciso XXV) </w:t>
      </w:r>
    </w:p>
    <w:p>
      <w:pPr>
        <w:pStyle w:val="Normal"/>
        <w:widowControl w:val="false"/>
        <w:spacing w:lineRule="auto" w:line="360"/>
        <w:ind w:hanging="2" w:left="0"/>
        <w:jc w:val="center"/>
        <w:rPr>
          <w:u w:val="single"/>
        </w:rPr>
      </w:pPr>
      <w:r>
        <w:rPr>
          <w:u w:val="single"/>
        </w:rPr>
      </w:r>
    </w:p>
    <w:p>
      <w:pPr>
        <w:pStyle w:val="Normal"/>
        <w:widowControl w:val="false"/>
        <w:spacing w:lineRule="auto" w:line="360"/>
        <w:ind w:hanging="2" w:left="0"/>
        <w:jc w:val="both"/>
        <w:rPr>
          <w:sz w:val="22"/>
          <w:szCs w:val="22"/>
        </w:rPr>
      </w:pPr>
      <w:r>
        <w:rPr>
          <w:rFonts w:eastAsia="Merriweather"/>
          <w:b/>
          <w:sz w:val="22"/>
          <w:szCs w:val="22"/>
        </w:rPr>
        <w:t xml:space="preserve">1. PROPOSTA/CONVÊNIO: </w:t>
      </w:r>
      <w:r>
        <w:rPr>
          <w:rFonts w:eastAsia="Merriweather"/>
          <w:sz w:val="22"/>
          <w:szCs w:val="22"/>
        </w:rPr>
        <w:t>Transferegov.br n°898019/2020</w:t>
      </w:r>
    </w:p>
    <w:p>
      <w:pPr>
        <w:pStyle w:val="Normal"/>
        <w:widowControl w:val="false"/>
        <w:spacing w:lineRule="auto" w:line="360"/>
        <w:ind w:hanging="2" w:left="0"/>
        <w:jc w:val="both"/>
        <w:rPr>
          <w:rFonts w:eastAsia="Merriweather"/>
          <w:b/>
        </w:rPr>
      </w:pPr>
      <w:r>
        <w:rPr>
          <w:rFonts w:eastAsia="Merriweather"/>
          <w:b/>
          <w:sz w:val="22"/>
          <w:szCs w:val="22"/>
        </w:rPr>
        <w:t xml:space="preserve">2. OBJETO: </w:t>
      </w:r>
      <w:r>
        <w:rPr>
          <w:rFonts w:eastAsia="Merriweather"/>
          <w:sz w:val="22"/>
          <w:szCs w:val="22"/>
        </w:rPr>
        <w:t xml:space="preserve">AQUISIÇÃO DE MAQUINAS E EQUIPAMENTOS </w:t>
      </w:r>
      <w:r>
        <w:rPr>
          <w:rFonts w:eastAsia="Merriweather"/>
          <w:b/>
          <w:sz w:val="22"/>
          <w:szCs w:val="22"/>
        </w:rPr>
        <w:t>(ESCAVADEIRA HIDRÁULICA)</w:t>
      </w:r>
    </w:p>
    <w:p>
      <w:pPr>
        <w:pStyle w:val="Normal"/>
        <w:widowControl w:val="false"/>
        <w:spacing w:lineRule="auto" w:line="360"/>
        <w:ind w:hanging="2" w:left="0"/>
        <w:jc w:val="both"/>
        <w:rPr>
          <w:sz w:val="22"/>
          <w:szCs w:val="22"/>
        </w:rPr>
      </w:pPr>
      <w:r>
        <w:rPr>
          <w:rFonts w:eastAsia="Merriweather"/>
          <w:b/>
          <w:bCs/>
          <w:sz w:val="22"/>
          <w:szCs w:val="22"/>
        </w:rPr>
        <w:t>3.</w:t>
      </w:r>
      <w:r>
        <w:rPr>
          <w:rFonts w:eastAsia="Merriweather"/>
          <w:sz w:val="22"/>
          <w:szCs w:val="22"/>
        </w:rPr>
        <w:t xml:space="preserve"> </w:t>
      </w:r>
      <w:r>
        <w:rPr>
          <w:rFonts w:eastAsia="Merriweather"/>
          <w:b/>
          <w:bCs/>
          <w:sz w:val="22"/>
          <w:szCs w:val="22"/>
        </w:rPr>
        <w:t>DADOS DO PROPONENTE</w:t>
      </w:r>
      <w:r>
        <w:rPr>
          <w:rFonts w:eastAsia="Merriweather"/>
          <w:sz w:val="22"/>
          <w:szCs w:val="22"/>
        </w:rPr>
        <w:t>: Prefeitura Municipal de BANDEIRANTES-PR, Inscrita no CNPJ: 76.235.753/0001-48, Endereço: Endereço: Rua Frei Rafael Proner, nº1457, centro, Bandeirantes-Pr - CEP: 86.360-000.</w:t>
      </w:r>
    </w:p>
    <w:p>
      <w:pPr>
        <w:pStyle w:val="Normal"/>
        <w:widowControl w:val="false"/>
        <w:spacing w:lineRule="auto" w:line="360"/>
        <w:ind w:hanging="2" w:left="0"/>
        <w:jc w:val="both"/>
        <w:rPr>
          <w:sz w:val="22"/>
          <w:szCs w:val="22"/>
        </w:rPr>
      </w:pPr>
      <w:r>
        <w:rPr>
          <w:rFonts w:eastAsia="Merriweather"/>
          <w:b/>
          <w:bCs/>
          <w:sz w:val="22"/>
          <w:szCs w:val="22"/>
        </w:rPr>
        <w:t>4. DADOS DO RESPONSÁVEL</w:t>
      </w:r>
      <w:r>
        <w:rPr>
          <w:rFonts w:eastAsia="Merriweather"/>
          <w:sz w:val="22"/>
          <w:szCs w:val="22"/>
        </w:rPr>
        <w:t>:</w:t>
      </w:r>
    </w:p>
    <w:p>
      <w:pPr>
        <w:pStyle w:val="Normal"/>
        <w:widowControl w:val="false"/>
        <w:spacing w:lineRule="auto" w:line="360"/>
        <w:ind w:hanging="2" w:left="0"/>
        <w:jc w:val="both"/>
        <w:rPr>
          <w:sz w:val="22"/>
          <w:szCs w:val="22"/>
        </w:rPr>
      </w:pPr>
      <w:r>
        <w:rPr>
          <w:rFonts w:eastAsia="Merriweather"/>
          <w:sz w:val="22"/>
          <w:szCs w:val="22"/>
        </w:rPr>
        <w:t>Nome : CAMILA DIAS RAMALHO MATTA</w:t>
      </w:r>
    </w:p>
    <w:p>
      <w:pPr>
        <w:pStyle w:val="Normal"/>
        <w:widowControl w:val="false"/>
        <w:spacing w:lineRule="auto" w:line="360"/>
        <w:ind w:hanging="2" w:left="0"/>
        <w:jc w:val="both"/>
        <w:rPr>
          <w:sz w:val="22"/>
          <w:szCs w:val="22"/>
        </w:rPr>
      </w:pPr>
      <w:r>
        <w:rPr>
          <w:rFonts w:eastAsia="Merriweather"/>
          <w:sz w:val="22"/>
          <w:szCs w:val="22"/>
        </w:rPr>
        <w:t>Secretaria Demandada: SECRETARIA MUNICIPAL DA AGRICULTURA E PECUÁRIA DO MUNICÍPIO DE BANDEIRANTES.</w:t>
      </w:r>
    </w:p>
    <w:p>
      <w:pPr>
        <w:pStyle w:val="Normal"/>
        <w:widowControl w:val="false"/>
        <w:spacing w:lineRule="auto" w:line="360"/>
        <w:ind w:hanging="2" w:left="0"/>
        <w:jc w:val="both"/>
        <w:rPr/>
      </w:pPr>
      <w:r>
        <w:rPr>
          <w:rFonts w:eastAsia="Merriweather"/>
          <w:sz w:val="22"/>
          <w:szCs w:val="22"/>
        </w:rPr>
        <w:t>Endereço eletrônico: agricultura</w:t>
      </w:r>
      <w:r>
        <w:rPr>
          <w:rStyle w:val="Hyperlink"/>
          <w:rFonts w:eastAsia="Merriweather"/>
          <w:sz w:val="22"/>
          <w:szCs w:val="22"/>
          <w:u w:val="none"/>
        </w:rPr>
        <w:t>@bandeirantes.pr.gov.br</w:t>
      </w:r>
    </w:p>
    <w:p>
      <w:pPr>
        <w:pStyle w:val="Normal"/>
        <w:widowControl w:val="false"/>
        <w:spacing w:lineRule="auto" w:line="360"/>
        <w:ind w:hanging="2" w:left="0"/>
        <w:jc w:val="both"/>
        <w:rPr>
          <w:sz w:val="22"/>
          <w:szCs w:val="22"/>
        </w:rPr>
      </w:pPr>
      <w:r>
        <w:rPr>
          <w:rFonts w:eastAsia="Merriweather"/>
          <w:b/>
          <w:bCs/>
          <w:sz w:val="22"/>
          <w:szCs w:val="22"/>
        </w:rPr>
        <w:t>5. CONTEXTUALIZAÇÃO E JUSTIFICATIVA</w:t>
      </w:r>
      <w:r>
        <w:rPr>
          <w:rFonts w:eastAsia="Merriweather"/>
          <w:sz w:val="22"/>
          <w:szCs w:val="22"/>
        </w:rPr>
        <w:t>:</w:t>
      </w:r>
    </w:p>
    <w:p>
      <w:pPr>
        <w:pStyle w:val="Normal"/>
        <w:widowControl w:val="false"/>
        <w:spacing w:lineRule="auto" w:line="360"/>
        <w:ind w:hanging="2" w:left="0"/>
        <w:jc w:val="both"/>
        <w:rPr>
          <w:sz w:val="22"/>
          <w:szCs w:val="22"/>
        </w:rPr>
      </w:pPr>
      <w:r>
        <w:rPr>
          <w:rFonts w:eastAsia="Merriweather"/>
          <w:sz w:val="22"/>
          <w:szCs w:val="22"/>
        </w:rPr>
        <w:t xml:space="preserve">O Município está localizado no norte do Paraná. Possui Área Territorial de 445,192 km², população residente de 31.273, densidade demográfica de 70,25hab/km. Tem como principais produtos e representação, a produção agrícola e Produção Agropecuária de grãos com mais de 120 milhões de reais, de cana-de-açúcar 56,1 milhões de reais, de bovinos 33,4 milhões, agricultura de hortaliças, de legumes em estufas, de frutas, principalmente a uva fina de mesa. </w:t>
      </w:r>
    </w:p>
    <w:p>
      <w:pPr>
        <w:pStyle w:val="Normal"/>
        <w:widowControl w:val="false"/>
        <w:spacing w:lineRule="auto" w:line="360"/>
        <w:ind w:hanging="2" w:left="0"/>
        <w:jc w:val="both"/>
        <w:rPr>
          <w:sz w:val="22"/>
          <w:szCs w:val="22"/>
        </w:rPr>
      </w:pPr>
      <w:r>
        <w:rPr>
          <w:rFonts w:eastAsia="Merriweather"/>
          <w:sz w:val="22"/>
          <w:szCs w:val="22"/>
        </w:rPr>
        <w:t xml:space="preserve">É composto por Pequenos e médios Agricultores e seus familiares, bem como os produtores de hortifruti e os que integram a agricultura familiar, desta forma beneficiando em média de 570 agricultores diretos e 2.160 agricultores indiretos. </w:t>
      </w:r>
    </w:p>
    <w:p>
      <w:pPr>
        <w:pStyle w:val="Normal"/>
        <w:widowControl w:val="false"/>
        <w:spacing w:lineRule="auto" w:line="360"/>
        <w:ind w:hanging="2" w:left="0"/>
        <w:jc w:val="both"/>
        <w:rPr>
          <w:sz w:val="22"/>
          <w:szCs w:val="22"/>
        </w:rPr>
      </w:pPr>
      <w:r>
        <w:rPr>
          <w:rFonts w:eastAsia="Merriweather"/>
          <w:sz w:val="22"/>
          <w:szCs w:val="22"/>
        </w:rPr>
        <w:t>Pretende-se Melhorar e Promover a elevação da produtividade, a redução de custo de produção para o agricultor, objetivando o fortalecimento operacional dos serviços prestados, bem como o andamento das ações desenvolvidas, proporcionando melhores condições de trabalho. De acordo com a descrição realizada no termo de convênio, na plataforma transferegov, o problema a ser resolvido é a</w:t>
      </w:r>
      <w:r>
        <w:rPr>
          <w:rFonts w:eastAsia="Merriweather"/>
          <w:color w:val="000000"/>
          <w:sz w:val="22"/>
          <w:szCs w:val="22"/>
        </w:rPr>
        <w:t xml:space="preserve"> trafegabilidade nas estradas rurais (trabalhando nas jazidas de cascalhos); Assoreamento dos córregos do município; Limpeza e manutenção em fundo de vale; entre outros.</w:t>
      </w:r>
    </w:p>
    <w:p>
      <w:pPr>
        <w:pStyle w:val="Normal"/>
        <w:widowControl w:val="false"/>
        <w:spacing w:lineRule="auto" w:line="360"/>
        <w:ind w:hanging="2" w:left="0"/>
        <w:jc w:val="both"/>
        <w:rPr/>
      </w:pPr>
      <w:r>
        <w:rPr>
          <w:rFonts w:eastAsia="Merriweather"/>
          <w:b/>
          <w:bCs/>
          <w:sz w:val="22"/>
          <w:szCs w:val="22"/>
        </w:rPr>
        <w:t>6. OBJETIVOS</w:t>
      </w:r>
    </w:p>
    <w:p>
      <w:pPr>
        <w:pStyle w:val="Normal"/>
        <w:widowControl w:val="false"/>
        <w:spacing w:lineRule="auto" w:line="360"/>
        <w:ind w:hanging="2" w:left="0"/>
        <w:jc w:val="both"/>
        <w:rPr/>
      </w:pPr>
      <w:r>
        <w:rPr>
          <w:rFonts w:eastAsia="Merriweather"/>
          <w:sz w:val="22"/>
          <w:szCs w:val="22"/>
        </w:rPr>
        <w:t xml:space="preserve">A aquisição da escavadeira hidráulica se justifica a fim de atender pequenos e médios produtores rurais deste Município que necessitam de máquinas e implementos agrícolas, para que possam realizar as atividades em suas propriedades rurais, principalmente cultivo de alfafa, e que não dispõe de maquinários, sendo que estes indispensáveis para a realização das atividades rurais. Com a aquisição desta escavadeira hidráulica, </w:t>
      </w:r>
      <w:r>
        <w:rPr>
          <w:rFonts w:eastAsia="Merriweather"/>
          <w:color w:val="000000"/>
          <w:sz w:val="22"/>
          <w:szCs w:val="22"/>
        </w:rPr>
        <w:t xml:space="preserve">vai ajudar na recuperação e melhoria de estradas vicinais, visando favorecer meios de locomoção, para propiciar melhores condições de trafegabilidade, para o complemento da renda familiar dos agricultores, além de propiciar segurança quanto a manutenção das calhas dos córregos do município, evitando possíveis enchentes. A melhoria nas condições das estradas vicinais e o fortalecimento na execução dos serviços, visando fomentar a produção agrícola e complementar a renda familiar dos munícipes, garantindo assim a melhoria e o crescimento na cadeia produtiva, oferecendo qualidade de vida para as pessoas além do desenvolvimento de nossa região. </w:t>
      </w:r>
    </w:p>
    <w:p>
      <w:pPr>
        <w:pStyle w:val="Normal"/>
        <w:widowControl w:val="false"/>
        <w:spacing w:lineRule="auto" w:line="360"/>
        <w:ind w:hanging="2" w:left="0"/>
        <w:jc w:val="both"/>
        <w:rPr/>
      </w:pPr>
      <w:r>
        <w:rPr>
          <w:rFonts w:eastAsia="Merriweather"/>
          <w:sz w:val="22"/>
          <w:szCs w:val="22"/>
        </w:rPr>
        <w:t xml:space="preserve">Objetiva ainda a otimização destes produtores rurais para a redução dos custos de produção, aumentando desta forma a produção, com a garantia do atendimento aos calendários de plantio, tratos culturais e colheita. Através da redução no custo de produção e a geração do aumento da produção rural, obtêm-se um complemento da renda familiar dos agricultores, gerando desta forma maior renda aos mesmos, melhorando a qualidade de vida dos agricultores rurais, assegurando assim a permanência deles no campo, com maior dignidade. </w:t>
      </w:r>
    </w:p>
    <w:p>
      <w:pPr>
        <w:pStyle w:val="Normal"/>
        <w:widowControl w:val="false"/>
        <w:spacing w:lineRule="auto" w:line="360"/>
        <w:ind w:hanging="2" w:left="0"/>
        <w:jc w:val="both"/>
        <w:rPr/>
      </w:pPr>
      <w:r>
        <w:rPr>
          <w:rFonts w:eastAsia="Merriweather"/>
          <w:sz w:val="22"/>
          <w:szCs w:val="22"/>
        </w:rPr>
        <w:t xml:space="preserve">A Aquisição da escavadeira hidráulica vai fomentar o fortalecimento da execução dos serviços necessários e diários prestados por esta Municipalidade, podendo ainda cumprir com as demandas, bem como aumentar os serviços prestados à população rural, levando experiências, conscientização e mais conhecimentos para a adoção das praticas de sustentabilidades. </w:t>
      </w:r>
    </w:p>
    <w:p>
      <w:pPr>
        <w:pStyle w:val="Normal"/>
        <w:widowControl w:val="false"/>
        <w:spacing w:lineRule="auto" w:line="360"/>
        <w:ind w:hanging="2" w:left="0"/>
        <w:jc w:val="both"/>
        <w:rPr/>
      </w:pPr>
      <w:r>
        <w:rPr>
          <w:rFonts w:eastAsia="Merriweather"/>
          <w:b/>
          <w:bCs/>
          <w:sz w:val="22"/>
          <w:szCs w:val="22"/>
        </w:rPr>
        <w:t>7. AQUISIÇÃO DE BENS/CONTRATAÇÃO DE SERVIÇOS OBJETO:</w:t>
      </w:r>
    </w:p>
    <w:p>
      <w:pPr>
        <w:pStyle w:val="Normal"/>
        <w:widowControl w:val="false"/>
        <w:spacing w:lineRule="auto" w:line="360"/>
        <w:ind w:hanging="2" w:left="0"/>
        <w:jc w:val="both"/>
        <w:rPr/>
      </w:pPr>
      <w:r>
        <w:rPr>
          <w:rFonts w:eastAsia="Merriweather"/>
          <w:sz w:val="22"/>
          <w:szCs w:val="22"/>
        </w:rPr>
        <w:t>AQUISIÇÃO DE 01 ESCAVADEIRA HIDRÁULICA, fomentará o setor agropecuário para suprir a falta de maquinários e ainda a melhoria nos serviços, dando suporte para toda a cadeia produtiva agrícola, pecuária e florestal, buscando o desenvolvimento sustentável e desta maneira estimular o desenvolvimento rural, com a redução das desigualdades socioeconômicas.</w:t>
      </w:r>
    </w:p>
    <w:p>
      <w:pPr>
        <w:pStyle w:val="Normal"/>
        <w:spacing w:lineRule="auto" w:line="360"/>
        <w:ind w:hanging="2" w:left="0"/>
        <w:jc w:val="both"/>
        <w:rPr/>
      </w:pPr>
      <w:r>
        <w:rPr>
          <w:rFonts w:eastAsia="Merriweather"/>
          <w:sz w:val="22"/>
          <w:szCs w:val="22"/>
        </w:rPr>
        <w:t>O objeto desta contratação não se enquadra como sendo de bem de luxo, conforme artigo 384 e seguintes do Decreto nº 3.537, de 09 de maio de 2023.</w:t>
      </w:r>
    </w:p>
    <w:p>
      <w:pPr>
        <w:pStyle w:val="Normal"/>
        <w:spacing w:lineRule="auto" w:line="360"/>
        <w:ind w:hanging="2" w:left="0"/>
        <w:jc w:val="both"/>
        <w:rPr/>
      </w:pPr>
      <w:r>
        <w:rPr>
          <w:rFonts w:eastAsia="Merriweather"/>
          <w:sz w:val="22"/>
          <w:szCs w:val="22"/>
        </w:rPr>
        <w:t>O bem objeto desta contratação é caracterizado como comum, ou seja, cujos padrões de desempenho e qualidade são objetivamente definidos em Edital, por meio de especificações reconhecidas e usuais do mercado.</w:t>
      </w:r>
    </w:p>
    <w:p>
      <w:pPr>
        <w:pStyle w:val="Normal"/>
        <w:spacing w:lineRule="auto" w:line="360"/>
        <w:ind w:hanging="2" w:left="0"/>
        <w:jc w:val="both"/>
        <w:rPr>
          <w:sz w:val="22"/>
          <w:szCs w:val="22"/>
        </w:rPr>
      </w:pPr>
      <w:r>
        <w:rPr>
          <w:rFonts w:eastAsia="Merriweather"/>
          <w:sz w:val="22"/>
          <w:szCs w:val="22"/>
        </w:rPr>
        <w:t>O prazo de vigência da contratação é 120 (cento e vinte) dias, contados a partir da assinatura do contrato, na forma do artigo 404 do</w:t>
      </w:r>
      <w:r>
        <w:rPr>
          <w:rFonts w:eastAsia="Merriweather"/>
          <w:color w:val="FF0000"/>
          <w:sz w:val="22"/>
          <w:szCs w:val="22"/>
        </w:rPr>
        <w:t xml:space="preserve"> </w:t>
      </w:r>
      <w:permStart w:id="886531763" w:edGrp="none"/>
      <w:r>
        <w:rPr>
          <w:rFonts w:eastAsia="Merriweather"/>
          <w:sz w:val="22"/>
          <w:szCs w:val="22"/>
        </w:rPr>
        <w:t>Decreto nº 3.537, de 09 de maio de 2023.</w:t>
      </w:r>
      <w:permEnd w:id="886531763"/>
    </w:p>
    <w:p>
      <w:pPr>
        <w:pStyle w:val="Normal"/>
        <w:spacing w:lineRule="auto" w:line="360"/>
        <w:ind w:hanging="2" w:left="0"/>
        <w:jc w:val="both"/>
        <w:rPr>
          <w:sz w:val="22"/>
          <w:szCs w:val="22"/>
        </w:rPr>
      </w:pPr>
      <w:r>
        <w:rPr>
          <w:rFonts w:eastAsia="Merriweather"/>
          <w:sz w:val="22"/>
          <w:szCs w:val="22"/>
        </w:rPr>
        <w:t>O contrato oferece maior detalhamento das regras que serão aplicadas em relação à vigência da contratação.</w:t>
      </w:r>
    </w:p>
    <w:p>
      <w:pPr>
        <w:pStyle w:val="Normal"/>
        <w:spacing w:lineRule="auto" w:line="360"/>
        <w:ind w:hanging="2" w:left="0"/>
        <w:jc w:val="both"/>
        <w:rPr>
          <w:sz w:val="22"/>
          <w:szCs w:val="22"/>
        </w:rPr>
      </w:pPr>
      <w:r>
        <w:rPr>
          <w:rFonts w:eastAsia="Merriweather"/>
          <w:sz w:val="22"/>
          <w:szCs w:val="22"/>
        </w:rPr>
        <w:tab/>
        <w:t>A Fundamentação da Contratação e de seus quantitativos encontra-se pormenorizada em Tópico específico dos Estudos Técnicos Preliminares, apêndice deste Termo de Referência.</w:t>
      </w:r>
    </w:p>
    <w:p>
      <w:pPr>
        <w:pStyle w:val="Normal"/>
        <w:spacing w:lineRule="auto" w:line="360"/>
        <w:ind w:hanging="2" w:left="0"/>
        <w:jc w:val="both"/>
        <w:rPr/>
      </w:pPr>
      <w:r>
        <w:rPr>
          <w:rFonts w:eastAsia="Merriweather"/>
          <w:sz w:val="22"/>
          <w:szCs w:val="22"/>
        </w:rPr>
        <w:t xml:space="preserve">O objeto da contratação está previsto no Plano de Contratações Anual 2024, conforme terceira Alteração Plano de Contratações Anual 2025,publicado no Diário Oficial do Município, Edição nº 1025, Ano 2025, Item SAP0077, na data de 28 de março de 2025, podendo ser acessado no endereço eletrônico:  </w:t>
      </w:r>
      <w:hyperlink r:id="rId2">
        <w:r>
          <w:rPr>
            <w:rStyle w:val="Hyperlink"/>
            <w:rFonts w:eastAsia="Merriweather"/>
            <w:sz w:val="22"/>
            <w:szCs w:val="22"/>
          </w:rPr>
          <w:t>www.bandeirantes.pr.gov.br/diario-oficial-eletronico</w:t>
        </w:r>
      </w:hyperlink>
      <w:r>
        <w:rPr>
          <w:rFonts w:eastAsia="Merriweather"/>
          <w:sz w:val="22"/>
          <w:szCs w:val="22"/>
        </w:rPr>
        <w:t xml:space="preserve">. </w:t>
      </w:r>
    </w:p>
    <w:p>
      <w:pPr>
        <w:pStyle w:val="Normal"/>
        <w:spacing w:lineRule="auto" w:line="360"/>
        <w:ind w:hanging="2" w:left="0"/>
        <w:jc w:val="both"/>
        <w:rPr>
          <w:rFonts w:eastAsia="Merriweather"/>
          <w:sz w:val="22"/>
          <w:szCs w:val="22"/>
        </w:rPr>
      </w:pPr>
      <w:r>
        <w:rPr>
          <w:rFonts w:eastAsia="Merriweather"/>
          <w:sz w:val="22"/>
          <w:szCs w:val="22"/>
        </w:rPr>
      </w:r>
    </w:p>
    <w:p>
      <w:pPr>
        <w:pStyle w:val="Normal"/>
        <w:spacing w:lineRule="auto" w:line="360"/>
        <w:ind w:hanging="2" w:left="0"/>
        <w:jc w:val="both"/>
        <w:rPr>
          <w:sz w:val="22"/>
          <w:szCs w:val="22"/>
        </w:rPr>
      </w:pPr>
      <w:r>
        <w:rPr>
          <w:rFonts w:eastAsia="Merriweather"/>
          <w:b/>
          <w:bCs/>
          <w:sz w:val="22"/>
          <w:szCs w:val="22"/>
        </w:rPr>
        <w:t>8. COTAÇÕES DE PREÇOS</w:t>
      </w:r>
    </w:p>
    <w:p>
      <w:pPr>
        <w:pStyle w:val="Normal"/>
        <w:widowControl w:val="false"/>
        <w:spacing w:lineRule="auto" w:line="360"/>
        <w:ind w:hanging="2" w:left="0"/>
        <w:jc w:val="both"/>
        <w:rPr>
          <w:b/>
          <w:bCs/>
          <w:sz w:val="22"/>
          <w:szCs w:val="22"/>
        </w:rPr>
      </w:pPr>
      <w:r>
        <w:rPr>
          <w:rFonts w:eastAsia="Merriweather"/>
          <w:b/>
          <w:bCs/>
          <w:sz w:val="22"/>
          <w:szCs w:val="22"/>
        </w:rPr>
        <w:t xml:space="preserve">DADOS DAS EMPRESAS PARTICIPANTES: </w:t>
      </w:r>
    </w:p>
    <w:p>
      <w:pPr>
        <w:pStyle w:val="Normal"/>
        <w:widowControl w:val="false"/>
        <w:spacing w:lineRule="auto" w:line="240"/>
        <w:ind w:hanging="2" w:left="0"/>
        <w:jc w:val="both"/>
        <w:rPr>
          <w:rStyle w:val="Hyperlink"/>
        </w:rPr>
      </w:pPr>
      <w:r>
        <w:rPr>
          <w:rFonts w:eastAsia="Merriweather"/>
          <w:b/>
          <w:bCs/>
          <w:sz w:val="22"/>
          <w:szCs w:val="22"/>
        </w:rPr>
        <w:t>EMPRESA 1</w:t>
      </w:r>
      <w:hyperlink r:id="rId3">
        <w:r>
          <w:rPr>
            <w:rStyle w:val="Style3"/>
            <w:rFonts w:eastAsia="Merriweather"/>
            <w:sz w:val="22"/>
            <w:szCs w:val="22"/>
          </w:rPr>
          <w:t xml:space="preserve">: </w:t>
        </w:r>
      </w:hyperlink>
    </w:p>
    <w:tbl>
      <w:tblPr>
        <w:tblStyle w:val="Tabelacomgrade"/>
        <w:tblW w:w="9409" w:type="dxa"/>
        <w:jc w:val="left"/>
        <w:tblInd w:w="52" w:type="dxa"/>
        <w:tblLayout w:type="fixed"/>
        <w:tblCellMar>
          <w:top w:w="0" w:type="dxa"/>
          <w:left w:w="108" w:type="dxa"/>
          <w:bottom w:w="0" w:type="dxa"/>
          <w:right w:w="108" w:type="dxa"/>
        </w:tblCellMar>
        <w:tblLook w:firstRow="1" w:noVBand="1" w:lastRow="0" w:firstColumn="1" w:lastColumn="0" w:noHBand="0" w:val="04a0"/>
      </w:tblPr>
      <w:tblGrid>
        <w:gridCol w:w="859"/>
        <w:gridCol w:w="3108"/>
        <w:gridCol w:w="1350"/>
        <w:gridCol w:w="4091"/>
      </w:tblGrid>
      <w:tr>
        <w:trPr>
          <w:trHeight w:val="300" w:hRule="atLeast"/>
        </w:trPr>
        <w:tc>
          <w:tcPr>
            <w:tcW w:w="859" w:type="dxa"/>
            <w:tcBorders/>
            <w:vAlign w:val="center"/>
          </w:tcPr>
          <w:p>
            <w:pPr>
              <w:pStyle w:val="Normal"/>
              <w:widowControl/>
              <w:suppressAutoHyphens w:val="false"/>
              <w:spacing w:lineRule="auto" w:line="240" w:before="0" w:after="0"/>
              <w:ind w:hanging="0" w:left="0"/>
              <w:jc w:val="left"/>
              <w:textAlignment w:val="auto"/>
              <w:rPr>
                <w:rFonts w:ascii="Times New Roman" w:hAnsi="Times New Roman" w:eastAsia="Times New Roman" w:cs="Times New Roman"/>
                <w:kern w:val="0"/>
                <w:sz w:val="24"/>
                <w:szCs w:val="24"/>
                <w:lang w:val="pt-BR" w:eastAsia="pt-BR" w:bidi="ar-SA"/>
              </w:rPr>
            </w:pPr>
            <w:r>
              <w:rPr>
                <w:rFonts w:eastAsia="Times New Roman" w:cs="Times New Roman" w:ascii="Arial" w:hAnsi="Arial"/>
                <w:color w:val="000000"/>
                <w:kern w:val="0"/>
                <w:sz w:val="16"/>
                <w:szCs w:val="16"/>
                <w:lang w:val="pt-BR" w:eastAsia="pt-BR" w:bidi="ar-SA"/>
              </w:rPr>
              <w:t>1</w:t>
            </w:r>
          </w:p>
        </w:tc>
        <w:tc>
          <w:tcPr>
            <w:tcW w:w="3108" w:type="dxa"/>
            <w:tcBorders/>
            <w:vAlign w:val="center"/>
          </w:tcPr>
          <w:p>
            <w:pPr>
              <w:pStyle w:val="Normal"/>
              <w:widowControl/>
              <w:suppressAutoHyphens w:val="false"/>
              <w:spacing w:lineRule="auto" w:line="240" w:before="0" w:after="0"/>
              <w:ind w:hanging="0" w:left="0"/>
              <w:jc w:val="left"/>
              <w:textAlignment w:val="auto"/>
              <w:rPr>
                <w:rFonts w:ascii="Times New Roman" w:hAnsi="Times New Roman" w:eastAsia="Times New Roman" w:cs="Times New Roman"/>
                <w:kern w:val="0"/>
                <w:sz w:val="24"/>
                <w:szCs w:val="24"/>
                <w:lang w:val="pt-BR" w:eastAsia="pt-BR" w:bidi="ar-SA"/>
              </w:rPr>
            </w:pPr>
            <w:r>
              <w:rPr>
                <w:rFonts w:eastAsia="Times New Roman" w:cs="Times New Roman" w:ascii="Arial" w:hAnsi="Arial"/>
                <w:color w:val="0000FF"/>
                <w:kern w:val="0"/>
                <w:sz w:val="16"/>
                <w:szCs w:val="16"/>
                <w:u w:val="single"/>
                <w:lang w:val="pt-BR" w:eastAsia="pt-BR" w:bidi="ar-SA"/>
              </w:rPr>
              <w:t>saranditratores@saranditratores.com.br</w:t>
            </w:r>
          </w:p>
        </w:tc>
        <w:tc>
          <w:tcPr>
            <w:tcW w:w="1350" w:type="dxa"/>
            <w:tcBorders/>
            <w:vAlign w:val="center"/>
          </w:tcPr>
          <w:p>
            <w:pPr>
              <w:pStyle w:val="Normal"/>
              <w:widowControl/>
              <w:suppressAutoHyphens w:val="false"/>
              <w:spacing w:lineRule="auto" w:line="240" w:before="0" w:after="0"/>
              <w:ind w:hanging="0" w:left="0"/>
              <w:jc w:val="left"/>
              <w:textAlignment w:val="auto"/>
              <w:rPr>
                <w:rFonts w:ascii="Times New Roman" w:hAnsi="Times New Roman" w:eastAsia="Times New Roman" w:cs="Times New Roman"/>
                <w:kern w:val="0"/>
                <w:sz w:val="24"/>
                <w:szCs w:val="24"/>
                <w:lang w:val="pt-BR" w:eastAsia="pt-BR" w:bidi="ar-SA"/>
              </w:rPr>
            </w:pPr>
            <w:r>
              <w:rPr>
                <w:rFonts w:eastAsia="Times New Roman" w:cs="Times New Roman" w:ascii="Arial" w:hAnsi="Arial"/>
                <w:color w:val="000000"/>
                <w:kern w:val="0"/>
                <w:sz w:val="16"/>
                <w:szCs w:val="16"/>
                <w:lang w:val="pt-BR" w:eastAsia="pt-BR" w:bidi="ar-SA"/>
              </w:rPr>
              <w:t>44.3224-3033</w:t>
            </w:r>
          </w:p>
        </w:tc>
        <w:tc>
          <w:tcPr>
            <w:tcW w:w="4091" w:type="dxa"/>
            <w:tcBorders/>
            <w:vAlign w:val="center"/>
          </w:tcPr>
          <w:p>
            <w:pPr>
              <w:pStyle w:val="Normal"/>
              <w:widowControl/>
              <w:suppressAutoHyphens w:val="false"/>
              <w:spacing w:lineRule="auto" w:line="240" w:before="0" w:after="0"/>
              <w:ind w:hanging="0" w:left="0"/>
              <w:jc w:val="left"/>
              <w:textAlignment w:val="auto"/>
              <w:rPr>
                <w:rFonts w:ascii="Times New Roman" w:hAnsi="Times New Roman" w:eastAsia="Times New Roman" w:cs="Times New Roman"/>
                <w:kern w:val="0"/>
                <w:sz w:val="24"/>
                <w:szCs w:val="24"/>
                <w:lang w:val="pt-BR" w:eastAsia="pt-BR" w:bidi="ar-SA"/>
              </w:rPr>
            </w:pPr>
            <w:r>
              <w:rPr>
                <w:rFonts w:eastAsia="Times New Roman" w:cs="Times New Roman" w:ascii="Arial" w:hAnsi="Arial"/>
                <w:color w:val="000000"/>
                <w:kern w:val="0"/>
                <w:sz w:val="16"/>
                <w:szCs w:val="16"/>
                <w:lang w:val="pt-BR" w:eastAsia="pt-BR" w:bidi="ar-SA"/>
              </w:rPr>
              <w:t>Sarandi Tratores Ltda -CNPJ 77.266.575/0001-85</w:t>
            </w:r>
          </w:p>
          <w:p>
            <w:pPr>
              <w:pStyle w:val="Normal"/>
              <w:widowControl/>
              <w:suppressAutoHyphens w:val="false"/>
              <w:spacing w:lineRule="auto" w:line="240" w:before="0" w:after="0"/>
              <w:ind w:hanging="0" w:left="0"/>
              <w:jc w:val="left"/>
              <w:textAlignment w:val="auto"/>
              <w:rPr>
                <w:rFonts w:ascii="Times New Roman" w:hAnsi="Times New Roman" w:eastAsia="Times New Roman" w:cs="Times New Roman"/>
                <w:kern w:val="0"/>
                <w:sz w:val="24"/>
                <w:szCs w:val="24"/>
                <w:lang w:val="pt-BR" w:eastAsia="pt-BR" w:bidi="ar-SA"/>
              </w:rPr>
            </w:pPr>
            <w:r>
              <w:rPr>
                <w:rFonts w:eastAsia="Times New Roman" w:cs="Times New Roman" w:ascii="Arial" w:hAnsi="Arial"/>
                <w:color w:val="000000"/>
                <w:kern w:val="0"/>
                <w:sz w:val="16"/>
                <w:szCs w:val="16"/>
                <w:lang w:val="pt-BR" w:eastAsia="pt-BR" w:bidi="ar-SA"/>
              </w:rPr>
              <w:t>Avenida Ademar Bornia, 629 – Jardim Europa - Sarandi-Pr</w:t>
            </w:r>
          </w:p>
        </w:tc>
      </w:tr>
    </w:tbl>
    <w:p>
      <w:pPr>
        <w:pStyle w:val="Normal"/>
        <w:spacing w:lineRule="auto" w:line="240"/>
        <w:rPr>
          <w:rStyle w:val="Hyperlink"/>
          <w:rFonts w:ascii="Arial" w:hAnsi="Arial"/>
          <w:color w:val="000000"/>
          <w:sz w:val="16"/>
          <w:szCs w:val="16"/>
          <w:u w:val="none"/>
        </w:rPr>
      </w:pPr>
      <w:r>
        <w:rPr>
          <w:b/>
          <w:bCs/>
          <w:sz w:val="22"/>
          <w:szCs w:val="22"/>
        </w:rPr>
        <w:t>EMPRESA 2</w:t>
      </w:r>
      <w:r>
        <w:rPr>
          <w:sz w:val="22"/>
          <w:szCs w:val="22"/>
        </w:rPr>
        <w:t xml:space="preserve">: </w:t>
      </w:r>
    </w:p>
    <w:tbl>
      <w:tblPr>
        <w:tblStyle w:val="Tabelacomgrade"/>
        <w:tblW w:w="9355" w:type="dxa"/>
        <w:jc w:val="left"/>
        <w:tblInd w:w="67" w:type="dxa"/>
        <w:tblLayout w:type="fixed"/>
        <w:tblCellMar>
          <w:top w:w="0" w:type="dxa"/>
          <w:left w:w="108" w:type="dxa"/>
          <w:bottom w:w="0" w:type="dxa"/>
          <w:right w:w="108" w:type="dxa"/>
        </w:tblCellMar>
        <w:tblLook w:firstRow="1" w:noVBand="1" w:lastRow="0" w:firstColumn="1" w:lastColumn="0" w:noHBand="0" w:val="04a0"/>
      </w:tblPr>
      <w:tblGrid>
        <w:gridCol w:w="816"/>
        <w:gridCol w:w="3140"/>
        <w:gridCol w:w="1350"/>
        <w:gridCol w:w="4048"/>
      </w:tblGrid>
      <w:tr>
        <w:trPr>
          <w:trHeight w:val="300" w:hRule="atLeast"/>
        </w:trPr>
        <w:tc>
          <w:tcPr>
            <w:tcW w:w="816" w:type="dxa"/>
            <w:tcBorders/>
            <w:vAlign w:val="center"/>
          </w:tcPr>
          <w:p>
            <w:pPr>
              <w:pStyle w:val="Normal"/>
              <w:widowControl/>
              <w:suppressAutoHyphens w:val="false"/>
              <w:spacing w:lineRule="auto" w:line="240" w:before="0" w:after="0"/>
              <w:ind w:hanging="0" w:left="0"/>
              <w:jc w:val="left"/>
              <w:textAlignment w:val="auto"/>
              <w:rPr>
                <w:rFonts w:ascii="Arial" w:hAnsi="Arial"/>
                <w:sz w:val="16"/>
                <w:szCs w:val="16"/>
              </w:rPr>
            </w:pPr>
            <w:r>
              <w:rPr>
                <w:rFonts w:eastAsia="Times New Roman" w:cs="Times New Roman" w:ascii="Arial" w:hAnsi="Arial"/>
                <w:color w:val="000000"/>
                <w:kern w:val="0"/>
                <w:sz w:val="16"/>
                <w:szCs w:val="16"/>
                <w:lang w:val="pt-BR" w:eastAsia="pt-BR" w:bidi="ar-SA"/>
              </w:rPr>
              <w:t>2</w:t>
            </w:r>
          </w:p>
        </w:tc>
        <w:tc>
          <w:tcPr>
            <w:tcW w:w="3140" w:type="dxa"/>
            <w:tcBorders/>
            <w:vAlign w:val="center"/>
          </w:tcPr>
          <w:p>
            <w:pPr>
              <w:pStyle w:val="Normal"/>
              <w:widowControl/>
              <w:suppressAutoHyphens w:val="false"/>
              <w:spacing w:lineRule="auto" w:line="240" w:before="0" w:after="0"/>
              <w:ind w:hanging="0" w:left="0"/>
              <w:jc w:val="left"/>
              <w:textAlignment w:val="auto"/>
              <w:rPr>
                <w:rFonts w:ascii="Arial" w:hAnsi="Arial"/>
                <w:sz w:val="16"/>
                <w:szCs w:val="16"/>
              </w:rPr>
            </w:pPr>
            <w:r>
              <w:rPr>
                <w:rFonts w:eastAsia="Times New Roman" w:cs="Times New Roman" w:ascii="Arial" w:hAnsi="Arial"/>
                <w:color w:val="0000FF"/>
                <w:kern w:val="0"/>
                <w:sz w:val="16"/>
                <w:szCs w:val="16"/>
                <w:lang w:val="pt-BR" w:eastAsia="pt-BR" w:bidi="ar-SA"/>
              </w:rPr>
              <w:t>guilherme.godoy@engepeças.com.br</w:t>
            </w:r>
          </w:p>
        </w:tc>
        <w:tc>
          <w:tcPr>
            <w:tcW w:w="1350" w:type="dxa"/>
            <w:tcBorders/>
            <w:vAlign w:val="center"/>
          </w:tcPr>
          <w:p>
            <w:pPr>
              <w:pStyle w:val="Normal"/>
              <w:widowControl/>
              <w:suppressAutoHyphens w:val="false"/>
              <w:spacing w:lineRule="auto" w:line="240" w:before="0" w:after="0"/>
              <w:ind w:hanging="0" w:left="0"/>
              <w:jc w:val="left"/>
              <w:textAlignment w:val="auto"/>
              <w:rPr>
                <w:rFonts w:ascii="Arial" w:hAnsi="Arial"/>
                <w:sz w:val="16"/>
                <w:szCs w:val="16"/>
              </w:rPr>
            </w:pPr>
            <w:r>
              <w:rPr>
                <w:rFonts w:eastAsia="Times New Roman" w:cs="Times New Roman" w:ascii="Arial" w:hAnsi="Arial"/>
                <w:color w:val="000000"/>
                <w:kern w:val="0"/>
                <w:sz w:val="16"/>
                <w:szCs w:val="16"/>
                <w:lang w:val="pt-BR" w:eastAsia="pt-BR" w:bidi="ar-SA"/>
              </w:rPr>
              <w:t>41.3380-8830</w:t>
            </w:r>
          </w:p>
        </w:tc>
        <w:tc>
          <w:tcPr>
            <w:tcW w:w="4048" w:type="dxa"/>
            <w:tcBorders/>
            <w:vAlign w:val="center"/>
          </w:tcPr>
          <w:p>
            <w:pPr>
              <w:pStyle w:val="Normal"/>
              <w:widowControl/>
              <w:suppressAutoHyphens w:val="false"/>
              <w:spacing w:lineRule="auto" w:line="240" w:before="0" w:after="0"/>
              <w:ind w:hanging="0" w:left="0"/>
              <w:jc w:val="left"/>
              <w:textAlignment w:val="auto"/>
              <w:rPr>
                <w:rFonts w:ascii="Arial" w:hAnsi="Arial"/>
                <w:sz w:val="16"/>
                <w:szCs w:val="16"/>
              </w:rPr>
            </w:pPr>
            <w:r>
              <w:rPr>
                <w:rFonts w:eastAsia="Times New Roman" w:cs="Times New Roman" w:ascii="Arial" w:hAnsi="Arial"/>
                <w:color w:val="000000"/>
                <w:kern w:val="0"/>
                <w:sz w:val="16"/>
                <w:szCs w:val="16"/>
                <w:lang w:val="pt-BR" w:eastAsia="pt-BR" w:bidi="ar-SA"/>
              </w:rPr>
              <w:t>Engepeças – CNPJ 05.063.653/0010-24</w:t>
            </w:r>
          </w:p>
          <w:p>
            <w:pPr>
              <w:pStyle w:val="Normal"/>
              <w:widowControl/>
              <w:suppressAutoHyphens w:val="false"/>
              <w:spacing w:lineRule="auto" w:line="240" w:before="0" w:after="0"/>
              <w:ind w:hanging="0" w:left="0"/>
              <w:jc w:val="left"/>
              <w:textAlignment w:val="auto"/>
              <w:rPr>
                <w:rFonts w:ascii="Arial" w:hAnsi="Arial"/>
                <w:sz w:val="16"/>
                <w:szCs w:val="16"/>
              </w:rPr>
            </w:pPr>
            <w:r>
              <w:rPr>
                <w:rFonts w:eastAsia="Times New Roman" w:cs="Times New Roman" w:ascii="Arial" w:hAnsi="Arial"/>
                <w:color w:val="000000"/>
                <w:kern w:val="0"/>
                <w:sz w:val="16"/>
                <w:szCs w:val="16"/>
                <w:lang w:val="pt-BR" w:eastAsia="pt-BR" w:bidi="ar-SA"/>
              </w:rPr>
              <w:t>Rua José Semes, 17680 – Italia – cep. 83.020-442 - São José dos Pinhais- PR</w:t>
            </w:r>
          </w:p>
        </w:tc>
      </w:tr>
    </w:tbl>
    <w:p>
      <w:pPr>
        <w:pStyle w:val="Normal"/>
        <w:spacing w:lineRule="auto" w:line="240"/>
        <w:rPr>
          <w:color w:val="000000"/>
          <w:sz w:val="22"/>
          <w:szCs w:val="22"/>
        </w:rPr>
      </w:pPr>
      <w:r>
        <w:rPr>
          <w:rFonts w:eastAsia="Merriweather"/>
          <w:b/>
          <w:bCs/>
          <w:sz w:val="22"/>
          <w:szCs w:val="22"/>
        </w:rPr>
        <w:t>EMPRESA 3</w:t>
      </w:r>
      <w:r>
        <w:rPr>
          <w:rFonts w:eastAsia="Merriweather"/>
          <w:sz w:val="22"/>
          <w:szCs w:val="22"/>
        </w:rPr>
        <w:t xml:space="preserve">: </w:t>
      </w:r>
    </w:p>
    <w:tbl>
      <w:tblPr>
        <w:tblStyle w:val="Tabelacomgrade"/>
        <w:tblW w:w="9300" w:type="dxa"/>
        <w:jc w:val="left"/>
        <w:tblInd w:w="120" w:type="dxa"/>
        <w:tblLayout w:type="fixed"/>
        <w:tblCellMar>
          <w:top w:w="0" w:type="dxa"/>
          <w:left w:w="108" w:type="dxa"/>
          <w:bottom w:w="0" w:type="dxa"/>
          <w:right w:w="108" w:type="dxa"/>
        </w:tblCellMar>
        <w:tblLook w:firstRow="1" w:noVBand="1" w:lastRow="0" w:firstColumn="1" w:lastColumn="0" w:noHBand="0" w:val="04a0"/>
      </w:tblPr>
      <w:tblGrid>
        <w:gridCol w:w="680"/>
        <w:gridCol w:w="3221"/>
        <w:gridCol w:w="1348"/>
        <w:gridCol w:w="4050"/>
      </w:tblGrid>
      <w:tr>
        <w:trPr>
          <w:trHeight w:val="300" w:hRule="atLeast"/>
        </w:trPr>
        <w:tc>
          <w:tcPr>
            <w:tcW w:w="680" w:type="dxa"/>
            <w:tcBorders/>
            <w:vAlign w:val="center"/>
          </w:tcPr>
          <w:p>
            <w:pPr>
              <w:pStyle w:val="Normal"/>
              <w:widowControl/>
              <w:suppressAutoHyphens w:val="false"/>
              <w:spacing w:lineRule="auto" w:line="240" w:before="0" w:after="0"/>
              <w:ind w:hanging="0" w:left="0"/>
              <w:jc w:val="left"/>
              <w:textAlignment w:val="auto"/>
              <w:rPr>
                <w:rFonts w:ascii="Arial" w:hAnsi="Arial"/>
                <w:sz w:val="16"/>
                <w:szCs w:val="16"/>
              </w:rPr>
            </w:pPr>
            <w:r>
              <w:rPr>
                <w:rFonts w:eastAsia="Times New Roman" w:cs="Times New Roman" w:ascii="Arial" w:hAnsi="Arial"/>
                <w:color w:val="000000"/>
                <w:kern w:val="0"/>
                <w:sz w:val="16"/>
                <w:szCs w:val="16"/>
                <w:lang w:val="pt-BR" w:eastAsia="pt-BR" w:bidi="ar-SA"/>
              </w:rPr>
              <w:t>3</w:t>
            </w:r>
          </w:p>
        </w:tc>
        <w:tc>
          <w:tcPr>
            <w:tcW w:w="3221" w:type="dxa"/>
            <w:tcBorders/>
            <w:vAlign w:val="center"/>
          </w:tcPr>
          <w:p>
            <w:pPr>
              <w:pStyle w:val="Heading2"/>
              <w:widowControl/>
              <w:suppressAutoHyphens w:val="true"/>
              <w:spacing w:before="360" w:after="80"/>
              <w:jc w:val="left"/>
              <w:rPr>
                <w:rFonts w:ascii="Times New Roman" w:hAnsi="Times New Roman" w:eastAsia="Times New Roman" w:cs="Times New Roman"/>
                <w:kern w:val="0"/>
                <w:lang w:val="pt-BR" w:eastAsia="pt-BR" w:bidi="ar-SA"/>
              </w:rPr>
            </w:pPr>
            <w:r>
              <w:rPr>
                <w:rStyle w:val="Hyperlink"/>
                <w:rFonts w:eastAsia="Times New Roman" w:cs="Times New Roman" w:ascii="Arial" w:hAnsi="Arial"/>
                <w:b w:val="false"/>
                <w:kern w:val="0"/>
                <w:sz w:val="16"/>
                <w:szCs w:val="16"/>
                <w:lang w:val="pt-BR" w:eastAsia="pt-BR" w:bidi="ar-SA"/>
              </w:rPr>
              <w:t>luis_rodrigo@pesa.com.br</w:t>
            </w:r>
          </w:p>
          <w:p>
            <w:pPr>
              <w:pStyle w:val="Normal"/>
              <w:widowControl/>
              <w:suppressAutoHyphens w:val="false"/>
              <w:spacing w:lineRule="auto" w:line="240" w:before="0" w:after="0"/>
              <w:ind w:hanging="0" w:left="0"/>
              <w:jc w:val="left"/>
              <w:textAlignment w:val="auto"/>
              <w:rPr>
                <w:rFonts w:ascii="Arial" w:hAnsi="Arial"/>
                <w:color w:val="000000"/>
                <w:sz w:val="16"/>
                <w:szCs w:val="16"/>
              </w:rPr>
            </w:pPr>
            <w:r>
              <w:rPr>
                <w:rFonts w:ascii="Arial" w:hAnsi="Arial"/>
                <w:color w:val="000000"/>
                <w:sz w:val="16"/>
                <w:szCs w:val="16"/>
              </w:rPr>
            </w:r>
          </w:p>
        </w:tc>
        <w:tc>
          <w:tcPr>
            <w:tcW w:w="1348" w:type="dxa"/>
            <w:tcBorders/>
            <w:vAlign w:val="center"/>
          </w:tcPr>
          <w:p>
            <w:pPr>
              <w:pStyle w:val="Normal"/>
              <w:widowControl/>
              <w:suppressAutoHyphens w:val="false"/>
              <w:spacing w:lineRule="auto" w:line="240" w:before="0" w:after="0"/>
              <w:ind w:hanging="0" w:left="0"/>
              <w:jc w:val="left"/>
              <w:textAlignment w:val="auto"/>
              <w:rPr>
                <w:rFonts w:ascii="Arial" w:hAnsi="Arial"/>
                <w:sz w:val="16"/>
                <w:szCs w:val="16"/>
              </w:rPr>
            </w:pPr>
            <w:r>
              <w:rPr>
                <w:rFonts w:eastAsia="Times New Roman" w:cs="Times New Roman" w:ascii="Arial" w:hAnsi="Arial"/>
                <w:kern w:val="0"/>
                <w:sz w:val="16"/>
                <w:szCs w:val="16"/>
                <w:lang w:val="pt-BR" w:eastAsia="pt-BR" w:bidi="ar-SA"/>
              </w:rPr>
              <w:t>43-98812-0184</w:t>
            </w:r>
          </w:p>
        </w:tc>
        <w:tc>
          <w:tcPr>
            <w:tcW w:w="4050" w:type="dxa"/>
            <w:tcBorders/>
            <w:vAlign w:val="center"/>
          </w:tcPr>
          <w:p>
            <w:pPr>
              <w:pStyle w:val="Normal"/>
              <w:widowControl/>
              <w:suppressAutoHyphens w:val="false"/>
              <w:spacing w:lineRule="auto" w:line="240" w:before="0" w:after="0"/>
              <w:ind w:hanging="0" w:left="0"/>
              <w:jc w:val="left"/>
              <w:textAlignment w:val="auto"/>
              <w:rPr>
                <w:rFonts w:ascii="Arial" w:hAnsi="Arial"/>
                <w:sz w:val="16"/>
                <w:szCs w:val="16"/>
              </w:rPr>
            </w:pPr>
            <w:r>
              <w:rPr>
                <w:rFonts w:eastAsia="Times New Roman" w:cs="Times New Roman" w:ascii="Arial" w:hAnsi="Arial"/>
                <w:color w:val="000000"/>
                <w:kern w:val="0"/>
                <w:sz w:val="16"/>
                <w:szCs w:val="16"/>
                <w:lang w:val="pt-BR" w:eastAsia="pt-BR" w:bidi="ar-SA"/>
              </w:rPr>
              <w:t>Paraná Equipamentos – CNPJ 76.527.951/0001-85</w:t>
            </w:r>
          </w:p>
          <w:p>
            <w:pPr>
              <w:pStyle w:val="Normal"/>
              <w:widowControl/>
              <w:suppressAutoHyphens w:val="false"/>
              <w:spacing w:lineRule="auto" w:line="240" w:before="0" w:after="0"/>
              <w:ind w:hanging="0" w:left="0"/>
              <w:jc w:val="left"/>
              <w:textAlignment w:val="auto"/>
              <w:rPr>
                <w:rFonts w:ascii="Arial" w:hAnsi="Arial"/>
                <w:sz w:val="16"/>
                <w:szCs w:val="16"/>
              </w:rPr>
            </w:pPr>
            <w:r>
              <w:rPr>
                <w:rFonts w:eastAsia="Times New Roman" w:cs="Times New Roman" w:ascii="Arial" w:hAnsi="Arial"/>
                <w:color w:val="000000"/>
                <w:kern w:val="0"/>
                <w:sz w:val="16"/>
                <w:szCs w:val="16"/>
                <w:lang w:val="pt-BR" w:eastAsia="pt-BR" w:bidi="ar-SA"/>
              </w:rPr>
              <w:t>Marginal da BR 116, nº11807 – Vila Hauer – Cep 81.510-000 - Curitiba-Pr</w:t>
            </w:r>
          </w:p>
        </w:tc>
      </w:tr>
    </w:tbl>
    <w:tbl>
      <w:tblPr>
        <w:tblW w:w="9382" w:type="dxa"/>
        <w:jc w:val="left"/>
        <w:tblInd w:w="-27" w:type="dxa"/>
        <w:tblLayout w:type="fixed"/>
        <w:tblCellMar>
          <w:top w:w="55" w:type="dxa"/>
          <w:left w:w="55" w:type="dxa"/>
          <w:bottom w:w="55" w:type="dxa"/>
          <w:right w:w="55" w:type="dxa"/>
        </w:tblCellMar>
        <w:tblLook w:firstRow="1" w:noVBand="1" w:lastRow="0" w:firstColumn="1" w:lastColumn="0" w:noHBand="0" w:val="04a0"/>
      </w:tblPr>
      <w:tblGrid>
        <w:gridCol w:w="1132"/>
        <w:gridCol w:w="3600"/>
        <w:gridCol w:w="1759"/>
        <w:gridCol w:w="1539"/>
        <w:gridCol w:w="1352"/>
      </w:tblGrid>
      <w:tr>
        <w:trPr/>
        <w:tc>
          <w:tcPr>
            <w:tcW w:w="1132" w:type="dxa"/>
            <w:tcBorders>
              <w:top w:val="single" w:sz="4" w:space="0" w:color="000000"/>
              <w:left w:val="single" w:sz="4" w:space="0" w:color="000000"/>
              <w:bottom w:val="single" w:sz="4" w:space="0" w:color="000000"/>
            </w:tcBorders>
          </w:tcPr>
          <w:p>
            <w:pPr>
              <w:pStyle w:val="Contedodatabelauser"/>
              <w:rPr>
                <w:b/>
                <w:bCs/>
                <w:sz w:val="22"/>
                <w:szCs w:val="22"/>
              </w:rPr>
            </w:pPr>
            <w:r>
              <w:rPr>
                <w:b/>
                <w:bCs/>
                <w:sz w:val="22"/>
                <w:szCs w:val="22"/>
              </w:rPr>
              <w:t>QTDA</w:t>
            </w:r>
          </w:p>
        </w:tc>
        <w:tc>
          <w:tcPr>
            <w:tcW w:w="3600" w:type="dxa"/>
            <w:tcBorders>
              <w:top w:val="single" w:sz="4" w:space="0" w:color="000000"/>
              <w:left w:val="single" w:sz="4" w:space="0" w:color="000000"/>
              <w:bottom w:val="single" w:sz="4" w:space="0" w:color="000000"/>
            </w:tcBorders>
          </w:tcPr>
          <w:p>
            <w:pPr>
              <w:pStyle w:val="Contedodatabelauser"/>
              <w:rPr>
                <w:b/>
                <w:bCs/>
                <w:sz w:val="22"/>
                <w:szCs w:val="22"/>
              </w:rPr>
            </w:pPr>
            <w:r>
              <w:rPr>
                <w:b/>
                <w:bCs/>
                <w:sz w:val="22"/>
                <w:szCs w:val="22"/>
              </w:rPr>
              <w:t>DETALHAMENTO DO ITEM (S</w:t>
            </w:r>
          </w:p>
        </w:tc>
        <w:tc>
          <w:tcPr>
            <w:tcW w:w="1759" w:type="dxa"/>
            <w:tcBorders>
              <w:top w:val="single" w:sz="4" w:space="0" w:color="000000"/>
              <w:left w:val="single" w:sz="4" w:space="0" w:color="000000"/>
              <w:bottom w:val="single" w:sz="4" w:space="0" w:color="000000"/>
            </w:tcBorders>
          </w:tcPr>
          <w:p>
            <w:pPr>
              <w:pStyle w:val="Contedodatabelauser"/>
              <w:rPr>
                <w:b/>
                <w:bCs/>
                <w:sz w:val="22"/>
                <w:szCs w:val="22"/>
              </w:rPr>
            </w:pPr>
            <w:r>
              <w:rPr>
                <w:b/>
                <w:bCs/>
                <w:sz w:val="22"/>
                <w:szCs w:val="22"/>
              </w:rPr>
              <w:t>EMPRESA  1</w:t>
            </w:r>
          </w:p>
        </w:tc>
        <w:tc>
          <w:tcPr>
            <w:tcW w:w="1539" w:type="dxa"/>
            <w:tcBorders>
              <w:top w:val="single" w:sz="4" w:space="0" w:color="000000"/>
              <w:left w:val="single" w:sz="4" w:space="0" w:color="000000"/>
              <w:bottom w:val="single" w:sz="4" w:space="0" w:color="000000"/>
            </w:tcBorders>
          </w:tcPr>
          <w:p>
            <w:pPr>
              <w:pStyle w:val="Contedodatabelauser"/>
              <w:rPr>
                <w:b/>
                <w:bCs/>
                <w:sz w:val="22"/>
                <w:szCs w:val="22"/>
              </w:rPr>
            </w:pPr>
            <w:r>
              <w:rPr>
                <w:b/>
                <w:bCs/>
                <w:sz w:val="22"/>
                <w:szCs w:val="22"/>
              </w:rPr>
              <w:t>EMPRESA 2</w:t>
            </w:r>
          </w:p>
        </w:tc>
        <w:tc>
          <w:tcPr>
            <w:tcW w:w="1352" w:type="dxa"/>
            <w:tcBorders>
              <w:top w:val="single" w:sz="4" w:space="0" w:color="000000"/>
              <w:left w:val="single" w:sz="4" w:space="0" w:color="000000"/>
              <w:bottom w:val="single" w:sz="4" w:space="0" w:color="000000"/>
              <w:right w:val="single" w:sz="4" w:space="0" w:color="000000"/>
            </w:tcBorders>
          </w:tcPr>
          <w:p>
            <w:pPr>
              <w:pStyle w:val="Contedodatabelauser"/>
              <w:rPr>
                <w:b/>
                <w:bCs/>
                <w:sz w:val="22"/>
                <w:szCs w:val="22"/>
              </w:rPr>
            </w:pPr>
            <w:r>
              <w:rPr>
                <w:b/>
                <w:bCs/>
                <w:sz w:val="22"/>
                <w:szCs w:val="22"/>
              </w:rPr>
              <w:t>EMPRESA 3</w:t>
            </w:r>
          </w:p>
        </w:tc>
      </w:tr>
      <w:tr>
        <w:trPr/>
        <w:tc>
          <w:tcPr>
            <w:tcW w:w="1132" w:type="dxa"/>
            <w:tcBorders>
              <w:left w:val="single" w:sz="4" w:space="0" w:color="000000"/>
              <w:bottom w:val="single" w:sz="4" w:space="0" w:color="000000"/>
            </w:tcBorders>
          </w:tcPr>
          <w:p>
            <w:pPr>
              <w:pStyle w:val="Contedodatabelauser"/>
              <w:jc w:val="center"/>
              <w:rPr>
                <w:b/>
                <w:bCs/>
              </w:rPr>
            </w:pPr>
            <w:r>
              <w:rPr>
                <w:b/>
                <w:bCs/>
                <w:sz w:val="22"/>
                <w:szCs w:val="22"/>
              </w:rPr>
              <w:t>01</w:t>
            </w:r>
          </w:p>
        </w:tc>
        <w:tc>
          <w:tcPr>
            <w:tcW w:w="3600" w:type="dxa"/>
            <w:tcBorders>
              <w:left w:val="single" w:sz="4" w:space="0" w:color="000000"/>
              <w:bottom w:val="single" w:sz="4" w:space="0" w:color="000000"/>
            </w:tcBorders>
          </w:tcPr>
          <w:p>
            <w:pPr>
              <w:pStyle w:val="Contedodatabelauser"/>
              <w:jc w:val="center"/>
              <w:rPr>
                <w:b/>
                <w:bCs/>
              </w:rPr>
            </w:pPr>
            <w:r>
              <w:rPr>
                <w:b/>
                <w:bCs/>
                <w:sz w:val="22"/>
                <w:szCs w:val="22"/>
              </w:rPr>
              <w:t>ESCAVADEIRA HIDRÁULICA</w:t>
            </w:r>
          </w:p>
        </w:tc>
        <w:tc>
          <w:tcPr>
            <w:tcW w:w="1759" w:type="dxa"/>
            <w:tcBorders>
              <w:left w:val="single" w:sz="4" w:space="0" w:color="000000"/>
              <w:bottom w:val="single" w:sz="4" w:space="0" w:color="000000"/>
            </w:tcBorders>
          </w:tcPr>
          <w:p>
            <w:pPr>
              <w:pStyle w:val="Contedodatabelauser"/>
              <w:jc w:val="center"/>
              <w:rPr>
                <w:b/>
                <w:bCs/>
              </w:rPr>
            </w:pPr>
            <w:r>
              <w:rPr>
                <w:b/>
                <w:bCs/>
                <w:sz w:val="22"/>
                <w:szCs w:val="22"/>
              </w:rPr>
              <w:t>340.000,00</w:t>
            </w:r>
          </w:p>
        </w:tc>
        <w:tc>
          <w:tcPr>
            <w:tcW w:w="1539" w:type="dxa"/>
            <w:tcBorders>
              <w:left w:val="single" w:sz="4" w:space="0" w:color="000000"/>
              <w:bottom w:val="single" w:sz="4" w:space="0" w:color="000000"/>
            </w:tcBorders>
          </w:tcPr>
          <w:p>
            <w:pPr>
              <w:pStyle w:val="Contedodatabelauser"/>
              <w:jc w:val="center"/>
              <w:rPr>
                <w:b/>
                <w:bCs/>
              </w:rPr>
            </w:pPr>
            <w:r>
              <w:rPr>
                <w:b/>
                <w:bCs/>
                <w:sz w:val="22"/>
                <w:szCs w:val="22"/>
              </w:rPr>
              <w:t>390.000,00</w:t>
            </w:r>
          </w:p>
        </w:tc>
        <w:tc>
          <w:tcPr>
            <w:tcW w:w="1352" w:type="dxa"/>
            <w:tcBorders>
              <w:left w:val="single" w:sz="4" w:space="0" w:color="000000"/>
              <w:bottom w:val="single" w:sz="4" w:space="0" w:color="000000"/>
              <w:right w:val="single" w:sz="4" w:space="0" w:color="000000"/>
            </w:tcBorders>
          </w:tcPr>
          <w:p>
            <w:pPr>
              <w:pStyle w:val="Contedodatabelauser"/>
              <w:jc w:val="center"/>
              <w:rPr>
                <w:b/>
                <w:bCs/>
              </w:rPr>
            </w:pPr>
            <w:r>
              <w:rPr>
                <w:b/>
                <w:bCs/>
                <w:sz w:val="22"/>
                <w:szCs w:val="22"/>
              </w:rPr>
              <w:t>395.000,00</w:t>
            </w:r>
          </w:p>
        </w:tc>
      </w:tr>
    </w:tbl>
    <w:p>
      <w:pPr>
        <w:pStyle w:val="Normal"/>
        <w:tabs>
          <w:tab w:val="clear" w:pos="720"/>
          <w:tab w:val="left" w:pos="1440" w:leader="none"/>
        </w:tabs>
        <w:snapToGrid w:val="false"/>
        <w:spacing w:before="57" w:after="0"/>
        <w:ind w:hanging="0" w:left="0"/>
        <w:jc w:val="both"/>
        <w:textAlignment w:val="auto"/>
        <w:rPr/>
      </w:pPr>
      <w:r>
        <w:rPr>
          <w:rStyle w:val="Fontepargpadro2"/>
          <w:b/>
          <w:bCs/>
          <w:sz w:val="22"/>
          <w:szCs w:val="22"/>
        </w:rPr>
        <w:t>8.1 Descrição detalhada</w:t>
      </w:r>
      <w:r>
        <w:rPr>
          <w:rStyle w:val="Fontepargpadro2"/>
          <w:bCs/>
          <w:sz w:val="22"/>
          <w:szCs w:val="22"/>
        </w:rPr>
        <w:t xml:space="preserve"> do objeto, contendo as informações similares à especificação do Termo de Referência: indicando, no que for aplicável</w:t>
      </w:r>
      <w:r>
        <w:rPr>
          <w:rStyle w:val="Fontepargpadro2"/>
          <w:sz w:val="22"/>
          <w:szCs w:val="22"/>
        </w:rPr>
        <w:t>, o modelo, prazo de validade ou de garantia, número do registro ou inscrição do bem no órgão competente, quando for o caso.</w:t>
      </w:r>
    </w:p>
    <w:tbl>
      <w:tblPr>
        <w:tblpPr w:vertAnchor="text" w:horzAnchor="text" w:tblpXSpec="center" w:leftFromText="141" w:rightFromText="141" w:tblpY="1"/>
        <w:tblOverlap w:val="never"/>
        <w:tblW w:w="10337" w:type="dxa"/>
        <w:jc w:val="center"/>
        <w:tblInd w:w="0" w:type="dxa"/>
        <w:tblLayout w:type="fixed"/>
        <w:tblCellMar>
          <w:top w:w="55" w:type="dxa"/>
          <w:left w:w="55" w:type="dxa"/>
          <w:bottom w:w="55" w:type="dxa"/>
          <w:right w:w="55" w:type="dxa"/>
        </w:tblCellMar>
        <w:tblLook w:firstRow="1" w:noVBand="1" w:lastRow="0" w:firstColumn="1" w:lastColumn="0" w:noHBand="0" w:val="04a0"/>
      </w:tblPr>
      <w:tblGrid>
        <w:gridCol w:w="733"/>
        <w:gridCol w:w="6576"/>
        <w:gridCol w:w="736"/>
        <w:gridCol w:w="737"/>
        <w:gridCol w:w="1555"/>
      </w:tblGrid>
      <w:tr>
        <w:trPr/>
        <w:tc>
          <w:tcPr>
            <w:tcW w:w="733" w:type="dxa"/>
            <w:tcBorders>
              <w:top w:val="single" w:sz="4" w:space="0" w:color="000000"/>
              <w:left w:val="single" w:sz="4" w:space="0" w:color="000000"/>
              <w:bottom w:val="single" w:sz="4" w:space="0" w:color="000000"/>
            </w:tcBorders>
            <w:shd w:color="auto" w:fill="BFBFBF" w:themeFill="background1" w:themeFillShade="bf" w:val="clear"/>
          </w:tcPr>
          <w:p>
            <w:pPr>
              <w:pStyle w:val="Contedodatabela"/>
              <w:jc w:val="center"/>
              <w:rPr/>
            </w:pPr>
            <w:r>
              <w:rPr>
                <w:b/>
                <w:bCs/>
                <w:sz w:val="22"/>
                <w:szCs w:val="22"/>
              </w:rPr>
              <w:t>QTD</w:t>
            </w:r>
          </w:p>
        </w:tc>
        <w:tc>
          <w:tcPr>
            <w:tcW w:w="6576" w:type="dxa"/>
            <w:tcBorders>
              <w:top w:val="single" w:sz="4" w:space="0" w:color="000000"/>
              <w:left w:val="single" w:sz="4" w:space="0" w:color="000000"/>
              <w:bottom w:val="single" w:sz="4" w:space="0" w:color="000000"/>
            </w:tcBorders>
            <w:shd w:color="auto" w:fill="BFBFBF" w:themeFill="background1" w:themeFillShade="bf" w:val="clear"/>
          </w:tcPr>
          <w:p>
            <w:pPr>
              <w:pStyle w:val="Contedodatabela"/>
              <w:jc w:val="center"/>
              <w:rPr/>
            </w:pPr>
            <w:r>
              <w:rPr>
                <w:b/>
                <w:bCs/>
                <w:sz w:val="22"/>
                <w:szCs w:val="22"/>
              </w:rPr>
              <w:t>DESCRITIVO</w:t>
            </w:r>
          </w:p>
        </w:tc>
        <w:tc>
          <w:tcPr>
            <w:tcW w:w="736" w:type="dxa"/>
            <w:tcBorders>
              <w:top w:val="single" w:sz="4" w:space="0" w:color="000000"/>
              <w:left w:val="single" w:sz="4" w:space="0" w:color="000000"/>
              <w:bottom w:val="single" w:sz="4" w:space="0" w:color="000000"/>
            </w:tcBorders>
            <w:shd w:color="auto" w:fill="BFBFBF" w:themeFill="background1" w:themeFillShade="bf" w:val="clear"/>
          </w:tcPr>
          <w:p>
            <w:pPr>
              <w:pStyle w:val="Contedodatabela"/>
              <w:jc w:val="center"/>
              <w:rPr/>
            </w:pPr>
            <w:r>
              <w:rPr>
                <w:b/>
                <w:bCs/>
                <w:sz w:val="22"/>
                <w:szCs w:val="22"/>
              </w:rPr>
              <w:t>CATMAT</w:t>
            </w:r>
          </w:p>
        </w:tc>
        <w:tc>
          <w:tcPr>
            <w:tcW w:w="737" w:type="dxa"/>
            <w:tcBorders>
              <w:top w:val="single" w:sz="4" w:space="0" w:color="000000"/>
              <w:left w:val="single" w:sz="4" w:space="0" w:color="000000"/>
              <w:bottom w:val="single" w:sz="4" w:space="0" w:color="000000"/>
            </w:tcBorders>
            <w:shd w:color="auto" w:fill="BFBFBF" w:themeFill="background1" w:themeFillShade="bf" w:val="clear"/>
          </w:tcPr>
          <w:p>
            <w:pPr>
              <w:pStyle w:val="Contedodatabela"/>
              <w:jc w:val="center"/>
              <w:rPr/>
            </w:pPr>
            <w:r>
              <w:rPr>
                <w:b/>
                <w:bCs/>
                <w:sz w:val="22"/>
                <w:szCs w:val="22"/>
              </w:rPr>
              <w:t>UND</w:t>
            </w:r>
          </w:p>
        </w:tc>
        <w:tc>
          <w:tcPr>
            <w:tcW w:w="15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Contedodatabela"/>
              <w:jc w:val="center"/>
              <w:rPr/>
            </w:pPr>
            <w:r>
              <w:rPr>
                <w:b/>
                <w:bCs/>
                <w:sz w:val="22"/>
                <w:szCs w:val="22"/>
              </w:rPr>
              <w:t>PREÇO MÉDIO</w:t>
            </w:r>
          </w:p>
        </w:tc>
      </w:tr>
      <w:tr>
        <w:trPr>
          <w:trHeight w:val="2061" w:hRule="atLeast"/>
        </w:trPr>
        <w:tc>
          <w:tcPr>
            <w:tcW w:w="733" w:type="dxa"/>
            <w:tcBorders>
              <w:left w:val="single" w:sz="4" w:space="0" w:color="000000"/>
              <w:bottom w:val="single" w:sz="4" w:space="0" w:color="000000"/>
            </w:tcBorders>
            <w:vAlign w:val="center"/>
          </w:tcPr>
          <w:p>
            <w:pPr>
              <w:pStyle w:val="Contedodatabela"/>
              <w:jc w:val="center"/>
              <w:rPr/>
            </w:pPr>
            <w:r>
              <w:rPr>
                <w:b/>
                <w:bCs/>
                <w:sz w:val="22"/>
                <w:szCs w:val="22"/>
              </w:rPr>
              <w:t>01</w:t>
            </w:r>
          </w:p>
        </w:tc>
        <w:tc>
          <w:tcPr>
            <w:tcW w:w="6576" w:type="dxa"/>
            <w:tcBorders>
              <w:left w:val="single" w:sz="4" w:space="0" w:color="000000"/>
              <w:bottom w:val="single" w:sz="4" w:space="0" w:color="000000"/>
            </w:tcBorders>
            <w:shd w:color="auto" w:fill="BFBFBF" w:themeFill="background1" w:themeFillShade="bf" w:val="clear"/>
            <w:vAlign w:val="center"/>
          </w:tcPr>
          <w:p>
            <w:pPr>
              <w:pStyle w:val="Contedodoquadro"/>
              <w:jc w:val="both"/>
              <w:rPr/>
            </w:pPr>
            <w:r>
              <w:rPr>
                <w:rFonts w:eastAsia="NSimSun" w:cs="Arial"/>
                <w:kern w:val="2"/>
                <w:sz w:val="22"/>
                <w:szCs w:val="22"/>
                <w:lang w:eastAsia="zh-CN" w:bidi="hi-IN"/>
              </w:rPr>
              <w:t>Aquisição de 01 (uma) Escavadeira Hidráulica sob esteira, com as descrições mínimas: Peso mínimo de 2.680 kg, três cilindros, motor a diesel, tanque de combustível com capacidade mínima de 25 litros, mínimo de 20 HP, atendimento as normas de Emissão de Poluentes TIER III, altura mínima de 2.400 mm, largura total mínima de 1.500 mm, cabine fechada com ar condicionado, força mínima de escavação no braço 13.8 KN, força mínima de escavação na caçamba 19,8 KN, profundidade mínima de escavação 2.400 mm, refrigeração a água, painel de controle, capacidade mínima volumétrica da caçamba de 0.06 m³, luzes para trabalho noturno, comando por joystick hidráulico, proteção, assento para operador em vinil, basculante e ajustável, com cinto de segurança retrátil ajustável, interruptor geral de bateria. 3. 3.1. esteira de aço, lâmina com altura mínima de elevação de 320 mm e profundidade mínima de 300 mm, buzina. Garantia de 12 meses, kit revisão contemplando óleos, filtros para as 4 primeiras revisões do equipamento. Oficina especializada e autorizada pela fabricante para manutenção, em uma distância máxima de 200 km da sede do município, no Estado do Paraná.</w:t>
            </w:r>
          </w:p>
        </w:tc>
        <w:tc>
          <w:tcPr>
            <w:tcW w:w="736" w:type="dxa"/>
            <w:tcBorders>
              <w:left w:val="single" w:sz="4" w:space="0" w:color="000000"/>
              <w:bottom w:val="single" w:sz="4" w:space="0" w:color="000000"/>
            </w:tcBorders>
            <w:vAlign w:val="center"/>
          </w:tcPr>
          <w:p>
            <w:pPr>
              <w:pStyle w:val="Contedodatabela"/>
              <w:jc w:val="center"/>
              <w:rPr>
                <w:b/>
                <w:bCs/>
                <w:sz w:val="22"/>
                <w:szCs w:val="22"/>
              </w:rPr>
            </w:pPr>
            <w:r>
              <w:rPr>
                <w:b/>
                <w:bCs/>
                <w:sz w:val="22"/>
                <w:szCs w:val="22"/>
              </w:rPr>
            </w:r>
          </w:p>
        </w:tc>
        <w:tc>
          <w:tcPr>
            <w:tcW w:w="737" w:type="dxa"/>
            <w:tcBorders>
              <w:left w:val="single" w:sz="4" w:space="0" w:color="000000"/>
              <w:bottom w:val="single" w:sz="4" w:space="0" w:color="000000"/>
            </w:tcBorders>
            <w:vAlign w:val="center"/>
          </w:tcPr>
          <w:p>
            <w:pPr>
              <w:pStyle w:val="Contedodatabela"/>
              <w:jc w:val="center"/>
              <w:rPr/>
            </w:pPr>
            <w:r>
              <w:rPr>
                <w:b/>
                <w:bCs/>
                <w:sz w:val="22"/>
                <w:szCs w:val="22"/>
              </w:rPr>
              <w:t>UND</w:t>
            </w:r>
          </w:p>
        </w:tc>
        <w:tc>
          <w:tcPr>
            <w:tcW w:w="1555" w:type="dxa"/>
            <w:tcBorders>
              <w:left w:val="single" w:sz="4" w:space="0" w:color="000000"/>
              <w:bottom w:val="single" w:sz="4" w:space="0" w:color="000000"/>
              <w:right w:val="single" w:sz="4" w:space="0" w:color="000000"/>
            </w:tcBorders>
            <w:vAlign w:val="center"/>
          </w:tcPr>
          <w:p>
            <w:pPr>
              <w:pStyle w:val="Contedodatabela"/>
              <w:jc w:val="center"/>
              <w:rPr/>
            </w:pPr>
            <w:r>
              <w:rPr>
                <w:b/>
                <w:bCs/>
                <w:sz w:val="22"/>
                <w:szCs w:val="22"/>
              </w:rPr>
              <w:t>R$ 451.335,00</w:t>
            </w:r>
          </w:p>
        </w:tc>
      </w:tr>
      <w:tr>
        <w:trPr/>
        <w:tc>
          <w:tcPr>
            <w:tcW w:w="10337" w:type="dxa"/>
            <w:gridSpan w:val="5"/>
            <w:tcBorders>
              <w:left w:val="single" w:sz="4" w:space="0" w:color="000000"/>
              <w:bottom w:val="single" w:sz="4" w:space="0" w:color="000000"/>
              <w:right w:val="single" w:sz="4" w:space="0" w:color="000000"/>
            </w:tcBorders>
            <w:shd w:color="auto" w:fill="BFBFBF" w:themeFill="background1" w:themeFillShade="bf" w:val="clear"/>
          </w:tcPr>
          <w:p>
            <w:pPr>
              <w:pStyle w:val="Contedodatabela"/>
              <w:jc w:val="center"/>
              <w:rPr/>
            </w:pPr>
            <w:r>
              <w:rPr>
                <w:b/>
                <w:bCs/>
                <w:sz w:val="22"/>
                <w:szCs w:val="22"/>
              </w:rPr>
              <w:t>Valor total: R$ 451.335,00</w:t>
            </w:r>
            <w:bookmarkStart w:id="0" w:name="_Hlk197610652"/>
            <w:bookmarkEnd w:id="0"/>
          </w:p>
        </w:tc>
      </w:tr>
    </w:tbl>
    <w:p>
      <w:pPr>
        <w:pStyle w:val="Normal"/>
        <w:tabs>
          <w:tab w:val="clear" w:pos="720"/>
          <w:tab w:val="left" w:pos="1440" w:leader="none"/>
        </w:tabs>
        <w:snapToGrid w:val="false"/>
        <w:spacing w:before="57" w:after="0"/>
        <w:ind w:hanging="0" w:left="0"/>
        <w:jc w:val="both"/>
        <w:textAlignment w:val="auto"/>
        <w:rPr>
          <w:b/>
          <w:bCs/>
          <w:color w:val="000000"/>
          <w:sz w:val="20"/>
          <w:szCs w:val="20"/>
          <w:highlight w:val="yellow"/>
        </w:rPr>
      </w:pPr>
      <w:r>
        <w:rPr>
          <w:b/>
          <w:bCs/>
          <w:color w:val="000000"/>
          <w:sz w:val="20"/>
          <w:szCs w:val="20"/>
          <w:highlight w:val="yellow"/>
        </w:rPr>
      </w:r>
    </w:p>
    <w:p>
      <w:pPr>
        <w:pStyle w:val="Normal"/>
        <w:widowControl w:val="false"/>
        <w:spacing w:lineRule="auto" w:line="360"/>
        <w:ind w:hanging="2" w:left="0"/>
        <w:jc w:val="both"/>
        <w:rPr>
          <w:i/>
          <w:i/>
          <w:iCs/>
          <w:sz w:val="22"/>
          <w:szCs w:val="22"/>
        </w:rPr>
      </w:pPr>
      <w:r>
        <w:rPr>
          <w:b/>
          <w:bCs/>
          <w:sz w:val="22"/>
          <w:szCs w:val="22"/>
        </w:rPr>
        <w:t>9. ENTREGA E CRITÉRIOS DE ACEITAÇÃO DO OBJETO</w:t>
      </w:r>
    </w:p>
    <w:p>
      <w:pPr>
        <w:pStyle w:val="Normal"/>
        <w:spacing w:lineRule="auto" w:line="360"/>
        <w:ind w:hanging="2" w:left="0"/>
        <w:jc w:val="both"/>
        <w:rPr>
          <w:sz w:val="22"/>
          <w:szCs w:val="22"/>
        </w:rPr>
      </w:pPr>
      <w:permStart w:id="1338664278" w:edGrp="none"/>
      <w:r>
        <w:rPr>
          <w:sz w:val="22"/>
          <w:szCs w:val="22"/>
        </w:rPr>
        <w:t>O prazo de entrega do equipamento é de até 60 (sessenta) dias, contados a partir do recebimento da solicitação de fornecimento/empenho, em remessa única.</w:t>
      </w:r>
      <w:permEnd w:id="1338664278"/>
    </w:p>
    <w:p>
      <w:pPr>
        <w:pStyle w:val="Normal"/>
        <w:spacing w:lineRule="auto" w:line="360"/>
        <w:ind w:hanging="2" w:left="0"/>
        <w:jc w:val="both"/>
        <w:rPr>
          <w:sz w:val="22"/>
          <w:szCs w:val="22"/>
        </w:rPr>
      </w:pPr>
      <w:r>
        <w:rPr>
          <w:rFonts w:eastAsia="Merriweather"/>
          <w:sz w:val="22"/>
          <w:szCs w:val="22"/>
        </w:rPr>
        <w:tab/>
        <w:t>A entrega do objeto deverá ser efetuada em data previamente agendada no almoxarifado municipal, de segunda a sexta-feira das 07h30 às 11h00 e das 13h00 às 17h00, acompanhados por servidor designado pela administração municipal.</w:t>
      </w:r>
    </w:p>
    <w:p>
      <w:pPr>
        <w:pStyle w:val="Normal"/>
        <w:spacing w:lineRule="auto" w:line="360"/>
        <w:ind w:hanging="2" w:left="0"/>
        <w:jc w:val="both"/>
        <w:rPr>
          <w:sz w:val="22"/>
          <w:szCs w:val="22"/>
        </w:rPr>
      </w:pPr>
      <w:r>
        <w:rPr>
          <w:rFonts w:eastAsia="Merriweather"/>
          <w:sz w:val="22"/>
          <w:szCs w:val="22"/>
        </w:rPr>
        <w:t>A licitante vencedora deverá apresentar, como forma de comprovação da garantia, Certificado de Garantia do Fabricante, ou documento similar, na entrega do produto.</w:t>
      </w:r>
    </w:p>
    <w:p>
      <w:pPr>
        <w:pStyle w:val="Normal"/>
        <w:spacing w:lineRule="auto" w:line="360"/>
        <w:ind w:hanging="2" w:left="0"/>
        <w:jc w:val="both"/>
        <w:rPr>
          <w:sz w:val="22"/>
          <w:szCs w:val="22"/>
        </w:rPr>
      </w:pPr>
      <w:r>
        <w:rPr>
          <w:rFonts w:eastAsia="Merriweather"/>
          <w:sz w:val="22"/>
          <w:szCs w:val="22"/>
        </w:rPr>
        <w:t>Quanto à assistência técnica a CONTRATADA deverá atender aos chamados da contratante no prazo máximo de 48 (quarenta e oito) horas da solicitação.</w:t>
      </w:r>
    </w:p>
    <w:p>
      <w:pPr>
        <w:pStyle w:val="Normal"/>
        <w:spacing w:lineRule="auto" w:line="360"/>
        <w:ind w:hanging="2" w:left="0"/>
        <w:jc w:val="both"/>
        <w:rPr>
          <w:sz w:val="22"/>
          <w:szCs w:val="22"/>
        </w:rPr>
      </w:pPr>
      <w:r>
        <w:rPr>
          <w:rFonts w:eastAsia="Merriweather"/>
          <w:sz w:val="22"/>
          <w:szCs w:val="22"/>
        </w:rPr>
        <w:t>Durante o período de garantia, a CONTRATANTE não efetuará nenhum tipo de pagamento à CONTRATADA a título de deslocamento de pessoal, hospedagem, produtos, mão de obra.</w:t>
      </w:r>
    </w:p>
    <w:p>
      <w:pPr>
        <w:pStyle w:val="Normal"/>
        <w:spacing w:lineRule="auto" w:line="360"/>
        <w:ind w:hanging="2" w:left="0"/>
        <w:jc w:val="both"/>
        <w:rPr>
          <w:sz w:val="22"/>
          <w:szCs w:val="22"/>
        </w:rPr>
      </w:pPr>
      <w:r>
        <w:rPr>
          <w:rFonts w:eastAsia="Merriweather"/>
          <w:sz w:val="22"/>
          <w:szCs w:val="22"/>
        </w:rPr>
        <w:t>Na hipótese de necessidade de substituição, a CONTRATADA deverá fazê-la em conformidade com a indicação da Administração, no prazo máximo de 15 (quinze) dias úteis, contados da notificação por escrito, mantidos o preço inicialmente contratado. Sendo que o ato do recebimento não importará na aceitação.</w:t>
      </w:r>
    </w:p>
    <w:p>
      <w:pPr>
        <w:pStyle w:val="Normal"/>
        <w:spacing w:lineRule="auto" w:line="360"/>
        <w:ind w:hanging="2" w:left="0"/>
        <w:jc w:val="both"/>
        <w:rPr>
          <w:sz w:val="22"/>
          <w:szCs w:val="22"/>
        </w:rPr>
      </w:pPr>
      <w:r>
        <w:rPr>
          <w:rFonts w:eastAsia="Merriweather"/>
          <w:sz w:val="22"/>
          <w:szCs w:val="22"/>
        </w:rPr>
        <w:t>Caso o bem não esteja de acordo com o licitado ou não satisfaça aos padrões especificados, conforme as exigências deste Termo e da licitação, a contratante reserva o direito de recusá-lo, o que acarretara o cancelamento do emprenho e o não pagamento.</w:t>
      </w:r>
    </w:p>
    <w:p>
      <w:pPr>
        <w:pStyle w:val="Normal"/>
        <w:widowControl w:val="false"/>
        <w:spacing w:lineRule="auto" w:line="360"/>
        <w:ind w:hanging="2" w:left="0"/>
        <w:jc w:val="both"/>
        <w:rPr>
          <w:b/>
          <w:bCs/>
          <w:i/>
          <w:i/>
          <w:iCs/>
        </w:rPr>
      </w:pPr>
      <w:r>
        <w:rPr>
          <w:b/>
          <w:bCs/>
          <w:i/>
          <w:iCs/>
        </w:rPr>
      </w:r>
    </w:p>
    <w:p>
      <w:pPr>
        <w:pStyle w:val="Normal"/>
        <w:widowControl w:val="false"/>
        <w:spacing w:lineRule="auto" w:line="360"/>
        <w:ind w:hanging="2" w:left="0"/>
        <w:jc w:val="both"/>
        <w:rPr>
          <w:sz w:val="22"/>
          <w:szCs w:val="22"/>
        </w:rPr>
      </w:pPr>
      <w:r>
        <w:rPr>
          <w:b/>
          <w:bCs/>
          <w:i/>
          <w:iCs/>
          <w:sz w:val="22"/>
          <w:szCs w:val="22"/>
        </w:rPr>
        <w:t>10 PRÉ-REQUISITOS E CONDIÇÕES DE ENTREGA</w:t>
      </w:r>
      <w:r>
        <w:rPr>
          <w:i/>
          <w:iCs/>
          <w:sz w:val="22"/>
          <w:szCs w:val="22"/>
        </w:rPr>
        <w:t xml:space="preserve"> -</w:t>
      </w:r>
    </w:p>
    <w:p>
      <w:pPr>
        <w:pStyle w:val="Normal"/>
        <w:spacing w:lineRule="auto" w:line="360"/>
        <w:ind w:hanging="2" w:left="0"/>
        <w:jc w:val="both"/>
        <w:rPr>
          <w:sz w:val="22"/>
          <w:szCs w:val="22"/>
        </w:rPr>
      </w:pPr>
      <w:r>
        <w:rPr>
          <w:rFonts w:eastAsia="Merriweather"/>
          <w:sz w:val="22"/>
          <w:szCs w:val="22"/>
        </w:rPr>
        <w:tab/>
        <w:t>Entregar os produtos de acordo com os padrões de qualidade e normas vigentes, e cumprir as especificações e condições estabelecidas no Edital. Não transferir a terceiro, por qualquer forma o contrato. Substituir, sem ônus para a Contratante, qualquer produto caso não atendam o padrão de qualidade exigido ou apresentem defeito de fabricação. Responsabilizar pelos custos de entrega dos produtos. O licitante vencedor se responsabilizará pela qualidade, quantidade e segurança dos produtos ofertados, não podendo apresentar deficiências técnicas, conforme as exigências deste Termo e da licitação, reservando à Prefeitura do direito de recusá-lo caso não satisfaça aos padrões especificados.</w:t>
      </w:r>
    </w:p>
    <w:p>
      <w:pPr>
        <w:pStyle w:val="Normal"/>
        <w:spacing w:lineRule="auto" w:line="360"/>
        <w:ind w:hanging="2" w:left="0"/>
        <w:jc w:val="both"/>
        <w:rPr>
          <w:sz w:val="22"/>
          <w:szCs w:val="22"/>
        </w:rPr>
      </w:pPr>
      <w:r>
        <w:rPr>
          <w:rFonts w:eastAsia="Merriweather"/>
          <w:sz w:val="22"/>
          <w:szCs w:val="22"/>
        </w:rPr>
        <w:t>Todas as despesas de embalagem, seguros, transporte, tributos, frete, carregamento, descarregamento, encargos trabalhistas e previdenciários e outros custos decorrentes direta e indiretamente do fornecimento do objeto, correrão por conta exclusiva da CONTRATADA. O licitante vencedor deverá providenciar a entrega dos bens permanentes em embalagem apropriada para que estes não sejam danificados quando do transporte e descarga local.</w:t>
      </w:r>
    </w:p>
    <w:p>
      <w:pPr>
        <w:pStyle w:val="Normal"/>
        <w:spacing w:lineRule="auto" w:line="360"/>
        <w:ind w:hanging="2" w:left="0"/>
        <w:jc w:val="both"/>
        <w:rPr>
          <w:sz w:val="22"/>
          <w:szCs w:val="22"/>
        </w:rPr>
      </w:pPr>
      <w:r>
        <w:rPr>
          <w:rFonts w:eastAsia="Merriweather"/>
          <w:sz w:val="22"/>
          <w:szCs w:val="22"/>
        </w:rPr>
        <w:t>Caso não seja possível a entrega na data indicada acima, o fornecedor deverá comunicar as razões respectivas com pelo menos 15 (quinze) dias de antecedência para qualquer pleito de prorrogação de prazo seja analisado, ressalvadas situações de caso fortuito e força maior.</w:t>
      </w:r>
    </w:p>
    <w:p>
      <w:pPr>
        <w:pStyle w:val="Normal"/>
        <w:spacing w:lineRule="auto" w:line="360"/>
        <w:ind w:hanging="2" w:left="0"/>
        <w:jc w:val="both"/>
        <w:rPr>
          <w:sz w:val="22"/>
          <w:szCs w:val="22"/>
        </w:rPr>
      </w:pPr>
      <w:r>
        <w:rPr>
          <w:rFonts w:eastAsia="Merriweather"/>
          <w:sz w:val="22"/>
          <w:szCs w:val="22"/>
        </w:rPr>
        <w:t>O objeto deverá portar manual de instruções, manutenção e do proprietário, todos em língua portuguesa.</w:t>
      </w:r>
    </w:p>
    <w:p>
      <w:pPr>
        <w:pStyle w:val="Normal"/>
        <w:spacing w:lineRule="auto" w:line="360"/>
        <w:ind w:hanging="2" w:left="0"/>
        <w:jc w:val="both"/>
        <w:rPr>
          <w:sz w:val="22"/>
          <w:szCs w:val="22"/>
        </w:rPr>
      </w:pPr>
      <w:r>
        <w:rPr>
          <w:rFonts w:eastAsia="Merriweather"/>
          <w:sz w:val="22"/>
          <w:szCs w:val="22"/>
        </w:rPr>
        <w:t>A licitante vencedora deverá apresentar, como forma de comprovação da garantia, Certificado de Garantia do Fabricante, ou documento similar, na entrega do produto.</w:t>
      </w:r>
    </w:p>
    <w:p>
      <w:pPr>
        <w:pStyle w:val="Normal"/>
        <w:spacing w:lineRule="auto" w:line="360"/>
        <w:ind w:hanging="2" w:left="0"/>
        <w:jc w:val="both"/>
        <w:rPr>
          <w:sz w:val="22"/>
          <w:szCs w:val="22"/>
        </w:rPr>
      </w:pPr>
      <w:r>
        <w:rPr>
          <w:rFonts w:eastAsia="Merriweather"/>
          <w:sz w:val="22"/>
          <w:szCs w:val="22"/>
        </w:rPr>
        <w:t>Quanto à assistência técnica a CONTRATADA deverá atender aos chamados da contratante no prazo máximo de 48 (quarenta e oito) horas da solicitação.</w:t>
      </w:r>
    </w:p>
    <w:p>
      <w:pPr>
        <w:pStyle w:val="Normal"/>
        <w:spacing w:lineRule="auto" w:line="360"/>
        <w:ind w:hanging="2" w:left="0"/>
        <w:jc w:val="both"/>
        <w:rPr>
          <w:sz w:val="22"/>
          <w:szCs w:val="22"/>
        </w:rPr>
      </w:pPr>
      <w:r>
        <w:rPr>
          <w:rFonts w:eastAsia="Merriweather"/>
          <w:sz w:val="22"/>
          <w:szCs w:val="22"/>
        </w:rPr>
        <w:t>Durante o período de garantia, a CONTRATANTE não efetuará nenhum tipo de pagamento à CONTRATADA a título de deslocamento de pessoal, hospedagem, produtos, mão de obra.</w:t>
      </w:r>
    </w:p>
    <w:p>
      <w:pPr>
        <w:pStyle w:val="Normal"/>
        <w:spacing w:lineRule="auto" w:line="360"/>
        <w:ind w:hanging="2" w:left="0"/>
        <w:jc w:val="both"/>
        <w:rPr>
          <w:sz w:val="22"/>
          <w:szCs w:val="22"/>
        </w:rPr>
      </w:pPr>
      <w:r>
        <w:rPr>
          <w:rFonts w:eastAsia="Merriweather"/>
          <w:sz w:val="22"/>
          <w:szCs w:val="22"/>
        </w:rPr>
        <w:t>Na hipótese de necessidade de substituição, a CONTRATADA deverá fazê-la em conformidade com a indicação da Administração, no prazo máximo de 15 (quinze) dias úteis, contados da notificação por escrito, mantidos o preço inicialmente contratado. Sendo que o ato do recebimento não importará na aceitação.</w:t>
      </w:r>
    </w:p>
    <w:p>
      <w:pPr>
        <w:pStyle w:val="Normal"/>
        <w:spacing w:lineRule="auto" w:line="360"/>
        <w:ind w:hanging="2" w:left="0"/>
        <w:jc w:val="both"/>
        <w:rPr>
          <w:sz w:val="22"/>
          <w:szCs w:val="22"/>
        </w:rPr>
      </w:pPr>
      <w:r>
        <w:rPr>
          <w:rFonts w:eastAsia="Merriweather"/>
          <w:sz w:val="22"/>
          <w:szCs w:val="22"/>
        </w:rPr>
        <w:t xml:space="preserve"> </w:t>
      </w:r>
      <w:r>
        <w:rPr>
          <w:rFonts w:eastAsia="Merriweather"/>
          <w:sz w:val="22"/>
          <w:szCs w:val="22"/>
        </w:rPr>
        <w:t>A CONTRATADA deverá designar por escrito, no ato do recebimento da Autorização de Serviços, preposto (s) que tenham poderes para resolução de possíveis ocorrências durante a execução;</w:t>
      </w:r>
    </w:p>
    <w:p>
      <w:pPr>
        <w:pStyle w:val="Normal"/>
        <w:spacing w:lineRule="auto" w:line="360"/>
        <w:ind w:hanging="2" w:left="0"/>
        <w:jc w:val="both"/>
        <w:rPr>
          <w:sz w:val="22"/>
          <w:szCs w:val="22"/>
        </w:rPr>
      </w:pPr>
      <w:r>
        <w:rPr>
          <w:rFonts w:eastAsia="Merriweather"/>
          <w:sz w:val="22"/>
          <w:szCs w:val="22"/>
        </w:rPr>
        <w:t>A CONTRATADA deverá responsabilizar-se pelos danos causados diretamente à Administração ou a terceiros, na forma do Art.120 da Lei 14.133/21, de 01 de abril de 2021 e suas alterações posteriores e ainda pelos encargos: trabalhistas, previdenciários, fiscais e comerciais resultantes da prestação de serviços.</w:t>
      </w:r>
    </w:p>
    <w:p>
      <w:pPr>
        <w:pStyle w:val="Normal"/>
        <w:spacing w:lineRule="auto" w:line="360"/>
        <w:ind w:hanging="2" w:left="0"/>
        <w:jc w:val="both"/>
        <w:rPr>
          <w:sz w:val="22"/>
          <w:szCs w:val="22"/>
        </w:rPr>
      </w:pPr>
      <w:r>
        <w:rPr>
          <w:rFonts w:eastAsia="Merriweather"/>
          <w:sz w:val="22"/>
          <w:szCs w:val="22"/>
        </w:rPr>
        <w:t>A CONTRATADA deverá prestar todos os esclarecimentos que lhe forem solicitados pela CONTRATANTE, atendendo prontamente a quaisquer reclamações.</w:t>
      </w:r>
    </w:p>
    <w:p>
      <w:pPr>
        <w:pStyle w:val="Normal"/>
        <w:spacing w:lineRule="auto" w:line="360"/>
        <w:ind w:hanging="2" w:left="0"/>
        <w:jc w:val="both"/>
        <w:rPr>
          <w:sz w:val="22"/>
          <w:szCs w:val="22"/>
        </w:rPr>
      </w:pPr>
      <w:r>
        <w:rPr>
          <w:rFonts w:eastAsia="Merriweather"/>
          <w:sz w:val="22"/>
          <w:szCs w:val="22"/>
        </w:rPr>
        <w:t>A CONTRATADA deverá responsabilizar-se pelos vícios e danos decorrentes do objeto, de acordo com os artigos 12, 13 e 17 a 27, do Código de Defesa do Consumidor (Lei nº 8.078, de 1990), ficando a Contratante autorizada a descontar dos pagamentos devidos à Contratada, o valor correspondente aos danos sofridos;</w:t>
      </w:r>
    </w:p>
    <w:p>
      <w:pPr>
        <w:pStyle w:val="Normal"/>
        <w:spacing w:lineRule="auto" w:line="360"/>
        <w:ind w:hanging="2" w:left="0"/>
        <w:jc w:val="both"/>
        <w:rPr>
          <w:sz w:val="22"/>
          <w:szCs w:val="22"/>
        </w:rPr>
      </w:pPr>
      <w:r>
        <w:rPr>
          <w:rFonts w:eastAsia="Merriweather"/>
          <w:sz w:val="22"/>
          <w:szCs w:val="22"/>
        </w:rPr>
        <w:t>Prazo de garantia do produto de 01 (um) ano contra defeitos de fabricação, fornecida pela empresa proponente, bem como as demais disposições do Código de Defesa ao Consumidor (Lei federal n. 8.078, de 11 de setembro de 1990).</w:t>
      </w:r>
    </w:p>
    <w:p>
      <w:pPr>
        <w:pStyle w:val="Normal"/>
        <w:spacing w:lineRule="auto" w:line="360"/>
        <w:ind w:hanging="2" w:left="0"/>
        <w:jc w:val="both"/>
        <w:rPr>
          <w:sz w:val="22"/>
          <w:szCs w:val="22"/>
        </w:rPr>
      </w:pPr>
      <w:r>
        <w:rPr>
          <w:rFonts w:eastAsia="Merriweather"/>
          <w:sz w:val="22"/>
          <w:szCs w:val="22"/>
        </w:rPr>
        <w:t>A garantia será prestada com vistas a manter o(s) produto(s) fornecidos em perfeitas condições de uso/consumo, sem qualquer ônus/custo adicional para o Município.</w:t>
      </w:r>
    </w:p>
    <w:p>
      <w:pPr>
        <w:pStyle w:val="Normal"/>
        <w:spacing w:lineRule="auto" w:line="360"/>
        <w:ind w:hanging="2" w:left="0"/>
        <w:jc w:val="both"/>
        <w:rPr>
          <w:sz w:val="22"/>
          <w:szCs w:val="22"/>
        </w:rPr>
      </w:pPr>
      <w:r>
        <w:rPr>
          <w:sz w:val="22"/>
          <w:szCs w:val="22"/>
        </w:rPr>
      </w:r>
    </w:p>
    <w:p>
      <w:pPr>
        <w:pStyle w:val="Normal"/>
        <w:widowControl w:val="false"/>
        <w:spacing w:lineRule="auto" w:line="360"/>
        <w:ind w:hanging="2" w:left="0"/>
        <w:jc w:val="both"/>
        <w:rPr>
          <w:b/>
          <w:bCs/>
          <w:sz w:val="22"/>
          <w:szCs w:val="22"/>
        </w:rPr>
      </w:pPr>
      <w:r>
        <w:rPr>
          <w:b/>
          <w:bCs/>
          <w:i/>
          <w:iCs/>
          <w:sz w:val="22"/>
          <w:szCs w:val="22"/>
        </w:rPr>
        <w:t>11. DEVERES DO CONTRATADO E DO CONTRATANTE E SANÇÕES</w:t>
      </w:r>
    </w:p>
    <w:p>
      <w:pPr>
        <w:pStyle w:val="Normal"/>
        <w:spacing w:lineRule="auto" w:line="360"/>
        <w:ind w:hanging="2" w:left="0"/>
        <w:jc w:val="both"/>
        <w:rPr>
          <w:sz w:val="22"/>
          <w:szCs w:val="22"/>
        </w:rPr>
      </w:pPr>
      <w:r>
        <w:rPr>
          <w:rFonts w:eastAsia="Merriweather"/>
          <w:sz w:val="22"/>
          <w:szCs w:val="22"/>
        </w:rPr>
        <w:t>O contrato deverá ser executado fielmente pelas partes, de acordo com as cláusulas avençadas e as normas da Lei nº 14.133, de 2021 e cada parte responderá pelas consequências de sua inexecução total ou parcial.</w:t>
      </w:r>
    </w:p>
    <w:p>
      <w:pPr>
        <w:pStyle w:val="Normal"/>
        <w:spacing w:lineRule="auto" w:line="360"/>
        <w:ind w:hanging="2" w:left="0"/>
        <w:jc w:val="both"/>
        <w:rPr>
          <w:sz w:val="22"/>
          <w:szCs w:val="22"/>
        </w:rPr>
      </w:pPr>
      <w:r>
        <w:rPr>
          <w:rFonts w:eastAsia="Merriweather"/>
          <w:sz w:val="22"/>
          <w:szCs w:val="22"/>
        </w:rPr>
        <w:t>Em caso de impedimento, ordem de paralisação ou suspensão do contrato, o cronograma de execução será prorrogado automaticamente pelo tempo correspondente, anotadas tais circunstâncias mediante simples apostila.</w:t>
      </w:r>
    </w:p>
    <w:p>
      <w:pPr>
        <w:pStyle w:val="Normal"/>
        <w:spacing w:lineRule="auto" w:line="360"/>
        <w:ind w:hanging="2" w:left="0"/>
        <w:jc w:val="both"/>
        <w:rPr>
          <w:sz w:val="22"/>
          <w:szCs w:val="22"/>
        </w:rPr>
      </w:pPr>
      <w:r>
        <w:rPr>
          <w:rFonts w:eastAsia="Merriweather"/>
          <w:sz w:val="22"/>
          <w:szCs w:val="22"/>
        </w:rPr>
        <w:t>As comunicações entre o órgão ou entidade e a contratada devem ser realizadas por escrito sempre que o ato exigir tal formalidade, admitindo-se o uso de mensagem eletrônica para esse fim.</w:t>
      </w:r>
    </w:p>
    <w:p>
      <w:pPr>
        <w:pStyle w:val="Normal"/>
        <w:spacing w:lineRule="auto" w:line="360"/>
        <w:ind w:hanging="2" w:left="0"/>
        <w:jc w:val="both"/>
        <w:rPr>
          <w:sz w:val="22"/>
          <w:szCs w:val="22"/>
        </w:rPr>
      </w:pPr>
      <w:r>
        <w:rPr>
          <w:rFonts w:eastAsia="Merriweather"/>
          <w:sz w:val="22"/>
          <w:szCs w:val="22"/>
        </w:rPr>
        <w:t>O órgão ou entidade poderá convocar representante da empresa para adoção de providências que devam ser cumpridas de imediato.</w:t>
      </w:r>
    </w:p>
    <w:p>
      <w:pPr>
        <w:pStyle w:val="Normal"/>
        <w:spacing w:lineRule="auto" w:line="360"/>
        <w:ind w:hanging="2" w:left="0"/>
        <w:jc w:val="both"/>
        <w:rPr>
          <w:sz w:val="22"/>
          <w:szCs w:val="22"/>
        </w:rPr>
      </w:pPr>
      <w:r>
        <w:rPr>
          <w:rFonts w:eastAsia="Merriweather"/>
          <w:sz w:val="22"/>
          <w:szCs w:val="22"/>
        </w:rPr>
        <w:t>Após a assinatura do contrato ou instrumento equivalente</w:t>
      </w:r>
      <w:r>
        <w:rPr>
          <w:rFonts w:eastAsia="Merriweather"/>
          <w:strike/>
          <w:sz w:val="22"/>
          <w:szCs w:val="22"/>
        </w:rPr>
        <w:t>,</w:t>
      </w:r>
      <w:r>
        <w:rPr>
          <w:rFonts w:eastAsia="Merriweather"/>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ormal"/>
        <w:spacing w:lineRule="auto" w:line="360"/>
        <w:ind w:hanging="2" w:left="0"/>
        <w:jc w:val="both"/>
        <w:rPr>
          <w:sz w:val="22"/>
          <w:szCs w:val="22"/>
        </w:rPr>
      </w:pPr>
      <w:r>
        <w:rPr>
          <w:rFonts w:eastAsia="Merriweather"/>
          <w:sz w:val="22"/>
          <w:szCs w:val="22"/>
        </w:rPr>
        <w:t>A execução do contrato deverá ser acompanhada e fiscalizada pelo fiscal do contrato, ou pelos respectivos substitutos (Decreto nº. 3.537, de 09 de maio de 2023, art. 163).</w:t>
      </w:r>
    </w:p>
    <w:p>
      <w:pPr>
        <w:pStyle w:val="Normal"/>
        <w:spacing w:lineRule="auto" w:line="360"/>
        <w:ind w:hanging="2" w:left="0"/>
        <w:jc w:val="both"/>
        <w:rPr>
          <w:sz w:val="22"/>
          <w:szCs w:val="22"/>
        </w:rPr>
      </w:pPr>
      <w:r>
        <w:rPr>
          <w:rFonts w:eastAsia="Merriweather"/>
          <w:sz w:val="22"/>
          <w:szCs w:val="22"/>
        </w:rPr>
        <w:t>O fiscal técnico do contrato acompanhará a execução do contrato, para que sejam cumpridas todas as condições estabelecidas no contrato, de modo a assegurar os melhores resultados para a Administração. (Decreto nº 3.537, de 09 de maio de 2023);</w:t>
      </w:r>
    </w:p>
    <w:p>
      <w:pPr>
        <w:pStyle w:val="Normal"/>
        <w:spacing w:lineRule="auto" w:line="360"/>
        <w:ind w:hanging="2" w:left="0"/>
        <w:jc w:val="both"/>
        <w:rPr/>
      </w:pPr>
      <w:r>
        <w:rPr>
          <w:rFonts w:eastAsia="Merriweather"/>
          <w:sz w:val="22"/>
          <w:szCs w:val="22"/>
        </w:rPr>
        <w:t>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r>
        <w:fldChar w:fldCharType="begin"/>
      </w:r>
      <w:r>
        <w:rPr>
          <w:rStyle w:val="Style3"/>
          <w:sz w:val="22"/>
          <w:szCs w:val="22"/>
          <w:rFonts w:eastAsia="Merriweather"/>
        </w:rPr>
        <w:instrText xml:space="preserve"> HYPERLINK "https://www.planalto.gov.br/ccivil_03/_ato2019-2022/2022/Decreto/D11246.htm" \l "art22"</w:instrText>
      </w:r>
      <w:r>
        <w:rPr>
          <w:rStyle w:val="Style3"/>
          <w:sz w:val="22"/>
          <w:szCs w:val="22"/>
          <w:rFonts w:eastAsia="Merriweather"/>
        </w:rPr>
        <w:fldChar w:fldCharType="separate"/>
      </w:r>
      <w:r>
        <w:rPr>
          <w:rStyle w:val="Style3"/>
          <w:rFonts w:eastAsia="Merriweather"/>
          <w:sz w:val="22"/>
          <w:szCs w:val="22"/>
        </w:rPr>
        <w:t>)</w:t>
      </w:r>
      <w:r>
        <w:rPr>
          <w:rStyle w:val="Style3"/>
          <w:sz w:val="22"/>
          <w:szCs w:val="22"/>
          <w:rFonts w:eastAsia="Merriweather"/>
        </w:rPr>
        <w:fldChar w:fldCharType="end"/>
      </w:r>
      <w:r>
        <w:rPr>
          <w:rFonts w:eastAsia="Merriweather"/>
          <w:sz w:val="22"/>
          <w:szCs w:val="22"/>
        </w:rPr>
        <w:t>;</w:t>
      </w:r>
    </w:p>
    <w:p>
      <w:pPr>
        <w:pStyle w:val="Normal"/>
        <w:spacing w:lineRule="auto" w:line="360"/>
        <w:ind w:hanging="2" w:left="0"/>
        <w:jc w:val="both"/>
        <w:rPr>
          <w:sz w:val="22"/>
          <w:szCs w:val="22"/>
        </w:rPr>
      </w:pPr>
      <w:r>
        <w:rPr>
          <w:rFonts w:eastAsia="Merriweather"/>
          <w:sz w:val="22"/>
          <w:szCs w:val="22"/>
        </w:rPr>
        <w:t>Identificada qualquer inexatidão ou irregularidade, o fiscal técnico do contrato emitirá notificações para a correção da execução do contrato, determinando prazo para a correção. (Decreto nº 3.537, de 09 de maio de 2023, art. 12, II);</w:t>
      </w:r>
    </w:p>
    <w:p>
      <w:pPr>
        <w:pStyle w:val="Normal"/>
        <w:spacing w:lineRule="auto" w:line="360"/>
        <w:ind w:hanging="2" w:left="0"/>
        <w:jc w:val="both"/>
        <w:rPr>
          <w:sz w:val="22"/>
          <w:szCs w:val="22"/>
        </w:rPr>
      </w:pPr>
      <w:r>
        <w:rPr>
          <w:rFonts w:eastAsia="Merriweather"/>
          <w:sz w:val="22"/>
          <w:szCs w:val="22"/>
        </w:rPr>
        <w:t>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pPr>
        <w:pStyle w:val="Normal"/>
        <w:spacing w:lineRule="auto" w:line="360"/>
        <w:ind w:hanging="2" w:left="0"/>
        <w:jc w:val="both"/>
        <w:rPr>
          <w:sz w:val="22"/>
          <w:szCs w:val="22"/>
        </w:rPr>
      </w:pPr>
      <w:r>
        <w:rPr>
          <w:rFonts w:eastAsia="Merriweather"/>
          <w:sz w:val="22"/>
          <w:szCs w:val="22"/>
        </w:rPr>
        <w:t>No caso de ocorrências que possam inviabilizar a execução do contrato nas datas aprazadas, o fiscal técnico do contrato comunicará o fato imediatamente ao gestor do contrato. (Decreto nº 3.537, de 09 de maio de 2023, art. 12).</w:t>
      </w:r>
    </w:p>
    <w:p>
      <w:pPr>
        <w:pStyle w:val="Normal"/>
        <w:spacing w:lineRule="auto" w:line="360"/>
        <w:ind w:hanging="2" w:left="0"/>
        <w:jc w:val="both"/>
        <w:rPr>
          <w:sz w:val="22"/>
          <w:szCs w:val="22"/>
        </w:rPr>
      </w:pPr>
      <w:r>
        <w:rPr>
          <w:rFonts w:eastAsia="Merriweather"/>
          <w:sz w:val="22"/>
          <w:szCs w:val="22"/>
        </w:rPr>
        <w:t>O fiscal técnico do contrato comunicar ao gestor do contrato, em tempo hábil, o término do contrato sob sua responsabilidade, com vistas à renovação tempestiva ou à prorrogação contratual (Decreto nº 3.537, de 09 de maio de 2023, art. 12).</w:t>
      </w:r>
    </w:p>
    <w:p>
      <w:pPr>
        <w:pStyle w:val="Normal"/>
        <w:spacing w:lineRule="auto" w:line="360"/>
        <w:ind w:hanging="2" w:left="0"/>
        <w:jc w:val="both"/>
        <w:rPr>
          <w:sz w:val="22"/>
          <w:szCs w:val="22"/>
        </w:rPr>
      </w:pPr>
      <w:r>
        <w:rPr>
          <w:rFonts w:eastAsia="Merriweather"/>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nº 3.537, de 09 de maio de 2023, art. 12, §7º).</w:t>
      </w:r>
    </w:p>
    <w:p>
      <w:pPr>
        <w:pStyle w:val="Normal"/>
        <w:spacing w:lineRule="auto" w:line="360"/>
        <w:ind w:hanging="2" w:left="0"/>
        <w:jc w:val="both"/>
        <w:rPr>
          <w:sz w:val="22"/>
          <w:szCs w:val="22"/>
        </w:rPr>
      </w:pPr>
      <w:r>
        <w:rPr>
          <w:rFonts w:eastAsia="Merriweather"/>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pPr>
        <w:pStyle w:val="Normal"/>
        <w:spacing w:lineRule="auto" w:line="360"/>
        <w:ind w:hanging="2" w:left="0"/>
        <w:jc w:val="both"/>
        <w:rPr>
          <w:sz w:val="22"/>
          <w:szCs w:val="22"/>
        </w:rPr>
      </w:pPr>
      <w:r>
        <w:rPr>
          <w:rFonts w:eastAsia="Merriweather"/>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pPr>
        <w:pStyle w:val="Normal"/>
        <w:spacing w:lineRule="auto" w:line="360"/>
        <w:ind w:hanging="2" w:left="0"/>
        <w:jc w:val="both"/>
        <w:rPr>
          <w:sz w:val="22"/>
          <w:szCs w:val="22"/>
        </w:rPr>
      </w:pPr>
      <w:r>
        <w:rPr>
          <w:rFonts w:eastAsia="Merriweather"/>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pPr>
        <w:pStyle w:val="Normal"/>
        <w:spacing w:lineRule="auto" w:line="360"/>
        <w:ind w:hanging="2" w:left="0"/>
        <w:jc w:val="both"/>
        <w:rPr>
          <w:sz w:val="22"/>
          <w:szCs w:val="22"/>
        </w:rPr>
      </w:pPr>
      <w:r>
        <w:rPr>
          <w:rFonts w:eastAsia="Merriweather"/>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pPr>
        <w:pStyle w:val="Normal"/>
        <w:spacing w:lineRule="auto" w:line="360"/>
        <w:ind w:hanging="2" w:left="0"/>
        <w:jc w:val="both"/>
        <w:rPr>
          <w:sz w:val="22"/>
          <w:szCs w:val="22"/>
        </w:rPr>
      </w:pPr>
      <w:r>
        <w:rPr>
          <w:rFonts w:eastAsia="Merriweather"/>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pPr>
        <w:pStyle w:val="Normal"/>
        <w:spacing w:lineRule="auto" w:line="360"/>
        <w:ind w:hanging="2" w:left="0"/>
        <w:jc w:val="both"/>
        <w:rPr>
          <w:sz w:val="22"/>
          <w:szCs w:val="22"/>
        </w:rPr>
      </w:pPr>
      <w:r>
        <w:rPr>
          <w:rFonts w:eastAsia="Merriweather"/>
          <w:sz w:val="22"/>
          <w:szCs w:val="22"/>
        </w:rPr>
        <w:t>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pPr>
        <w:pStyle w:val="Normal"/>
        <w:spacing w:lineRule="auto" w:line="360"/>
        <w:ind w:hanging="2" w:left="0"/>
        <w:jc w:val="both"/>
        <w:rPr>
          <w:sz w:val="22"/>
          <w:szCs w:val="22"/>
        </w:rPr>
      </w:pPr>
      <w:r>
        <w:rPr>
          <w:rFonts w:eastAsia="Merriweather"/>
          <w:sz w:val="22"/>
          <w:szCs w:val="22"/>
        </w:rPr>
        <w:t>O fiscal administrativo do contrato comunicará ao gestor do contrato, em tempo hábil, o término do contrato sob sua responsabilidade, com vistas à tempestiva renovação ou prorrogação contratual (Decreto nº 3.537, de 09 de maio de 2023, art. 12).</w:t>
      </w:r>
    </w:p>
    <w:p>
      <w:pPr>
        <w:pStyle w:val="Normal"/>
        <w:spacing w:lineRule="auto" w:line="360"/>
        <w:ind w:hanging="2" w:left="0"/>
        <w:jc w:val="both"/>
        <w:rPr>
          <w:sz w:val="22"/>
          <w:szCs w:val="22"/>
        </w:rPr>
      </w:pPr>
      <w:r>
        <w:rPr>
          <w:rFonts w:eastAsia="Merriweather"/>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3.537, de 09 de maio de 2023, art. 10).</w:t>
      </w:r>
    </w:p>
    <w:p>
      <w:pPr>
        <w:pStyle w:val="Normal"/>
        <w:spacing w:lineRule="auto" w:line="360"/>
        <w:ind w:hanging="2" w:left="0"/>
        <w:jc w:val="both"/>
        <w:rPr>
          <w:sz w:val="22"/>
          <w:szCs w:val="22"/>
        </w:rPr>
      </w:pPr>
      <w:r>
        <w:rPr>
          <w:rFonts w:eastAsia="Merriweather"/>
          <w:sz w:val="22"/>
          <w:szCs w:val="22"/>
        </w:rPr>
        <w:t>A CONTRATADA deverá instruir seus empregados quanto à necessidade de acatar as Normas Internas da Administração;</w:t>
      </w:r>
    </w:p>
    <w:p>
      <w:pPr>
        <w:pStyle w:val="Normal"/>
        <w:spacing w:lineRule="auto" w:line="360"/>
        <w:ind w:hanging="2" w:left="0"/>
        <w:jc w:val="both"/>
        <w:rPr>
          <w:sz w:val="22"/>
          <w:szCs w:val="22"/>
        </w:rPr>
      </w:pPr>
      <w:r>
        <w:rPr>
          <w:rFonts w:eastAsia="Merriweather"/>
          <w:sz w:val="22"/>
          <w:szCs w:val="22"/>
        </w:rPr>
        <w:t>A CONTRATADA deverá instruir seus empregados a respeito das atividades a serem desempenhadas, alertando-os a não executar atividades não abrangidas pelo contrato;</w:t>
      </w:r>
    </w:p>
    <w:p>
      <w:pPr>
        <w:pStyle w:val="Normal"/>
        <w:spacing w:lineRule="auto" w:line="360"/>
        <w:ind w:hanging="2" w:left="0"/>
        <w:jc w:val="both"/>
        <w:rPr>
          <w:sz w:val="22"/>
          <w:szCs w:val="22"/>
        </w:rPr>
      </w:pPr>
      <w:r>
        <w:rPr>
          <w:rFonts w:eastAsia="Merriweather"/>
          <w:sz w:val="22"/>
          <w:szCs w:val="22"/>
        </w:rPr>
        <w:t>A CONTRATADA deverá utilizar empregados habilitados e com conhecimentos básicos para a perfeita execução;</w:t>
      </w:r>
    </w:p>
    <w:p>
      <w:pPr>
        <w:pStyle w:val="Normal"/>
        <w:spacing w:lineRule="auto" w:line="360"/>
        <w:ind w:hanging="2" w:left="0"/>
        <w:jc w:val="both"/>
        <w:rPr>
          <w:sz w:val="22"/>
          <w:szCs w:val="22"/>
        </w:rPr>
      </w:pPr>
      <w:r>
        <w:rPr>
          <w:rFonts w:eastAsia="Merriweather"/>
          <w:sz w:val="22"/>
          <w:szCs w:val="22"/>
        </w:rPr>
        <w:t>A CONTRATADA deverá disponibilizar à Contratante os empregados devidamente uniformizados e provê-los com os Equipamentos de Proteção Individual - EPI, quando for o caso;</w:t>
      </w:r>
    </w:p>
    <w:p>
      <w:pPr>
        <w:pStyle w:val="Normal"/>
        <w:spacing w:lineRule="auto" w:line="360"/>
        <w:ind w:hanging="2" w:left="0"/>
        <w:jc w:val="both"/>
        <w:rPr>
          <w:sz w:val="22"/>
          <w:szCs w:val="22"/>
        </w:rPr>
      </w:pPr>
      <w:r>
        <w:rPr>
          <w:rFonts w:eastAsia="Merriweather"/>
          <w:sz w:val="22"/>
          <w:szCs w:val="22"/>
        </w:rPr>
        <w:t xml:space="preserve"> </w:t>
      </w:r>
      <w:r>
        <w:rPr>
          <w:rFonts w:eastAsia="Merriweather"/>
          <w:sz w:val="22"/>
          <w:szCs w:val="22"/>
        </w:rPr>
        <w:t>A CONTRATADA deverá guardar sigilo sobre todas as informações obtidas em decorrência do cumprimento do contrato;</w:t>
      </w:r>
    </w:p>
    <w:p>
      <w:pPr>
        <w:pStyle w:val="Normal"/>
        <w:spacing w:lineRule="auto" w:line="360"/>
        <w:ind w:hanging="2" w:left="0"/>
        <w:jc w:val="both"/>
        <w:rPr>
          <w:sz w:val="22"/>
          <w:szCs w:val="22"/>
        </w:rPr>
      </w:pPr>
      <w:r>
        <w:rPr>
          <w:rFonts w:eastAsia="Merriweather"/>
          <w:sz w:val="22"/>
          <w:szCs w:val="22"/>
        </w:rPr>
        <w:t xml:space="preserve"> </w:t>
      </w:r>
      <w:r>
        <w:rPr>
          <w:rFonts w:eastAsia="Merriweather"/>
          <w:sz w:val="22"/>
          <w:szCs w:val="22"/>
        </w:rPr>
        <w:t>A CONTRATADA deverá responder pelas despesas resultantes de quaisquer ações, demandas, decorrentes de dano seja por culpa sua ou qualquer de seus empregados e prepostos, obrigando-se por quais quer responsabilidade decorrente de ações judiciais de terceiros, que lhe venham a ser exigidas por força de lei, ligadas ao cumprimento do presente Contrato;</w:t>
      </w:r>
    </w:p>
    <w:p>
      <w:pPr>
        <w:pStyle w:val="Normal"/>
        <w:spacing w:lineRule="auto" w:line="360"/>
        <w:ind w:hanging="2" w:left="0"/>
        <w:jc w:val="both"/>
        <w:rPr>
          <w:sz w:val="22"/>
          <w:szCs w:val="22"/>
        </w:rPr>
      </w:pPr>
      <w:r>
        <w:rPr>
          <w:rFonts w:eastAsia="Merriweather"/>
          <w:sz w:val="22"/>
          <w:szCs w:val="22"/>
        </w:rPr>
        <w:t xml:space="preserve"> </w:t>
      </w:r>
      <w:r>
        <w:rPr>
          <w:rFonts w:eastAsia="Merriweather"/>
          <w:sz w:val="22"/>
          <w:szCs w:val="22"/>
        </w:rPr>
        <w:t>A CONTRATADA deverá arcar com todas as despesas diretas e indiretas, decorrentes do cumprimento das obrigações assumidas, sem qualquer ônus a contratante;</w:t>
      </w:r>
    </w:p>
    <w:p>
      <w:pPr>
        <w:pStyle w:val="Normal"/>
        <w:spacing w:lineRule="auto" w:line="360"/>
        <w:ind w:hanging="2" w:left="0"/>
        <w:jc w:val="both"/>
        <w:rPr>
          <w:sz w:val="22"/>
          <w:szCs w:val="22"/>
        </w:rPr>
      </w:pPr>
      <w:r>
        <w:rPr>
          <w:rFonts w:eastAsia="Merriweather"/>
          <w:sz w:val="22"/>
          <w:szCs w:val="22"/>
        </w:rPr>
        <w:t>A CONTRATADA deverá conduzir os trabalhos com estrita observância às normas da legislação pertinente, cumprindo as determinações dos Poderes Públicos;</w:t>
      </w:r>
    </w:p>
    <w:p>
      <w:pPr>
        <w:pStyle w:val="Normal"/>
        <w:spacing w:lineRule="auto" w:line="360"/>
        <w:ind w:hanging="0" w:left="-2"/>
        <w:jc w:val="both"/>
        <w:rPr>
          <w:sz w:val="22"/>
          <w:szCs w:val="22"/>
        </w:rPr>
      </w:pPr>
      <w:r>
        <w:rPr>
          <w:rFonts w:eastAsia="Merriweather"/>
          <w:sz w:val="22"/>
          <w:szCs w:val="22"/>
        </w:rPr>
        <w:t>A CONTRATADA deverá submeter previamente, por escrito, à Contratante, para análise e aprovação, qualquer mudança no método de execução do serviço que fuja das especificações constantes de Termo de Referência a ser elaborado.</w:t>
      </w:r>
    </w:p>
    <w:p>
      <w:pPr>
        <w:pStyle w:val="Normal"/>
        <w:spacing w:lineRule="auto" w:line="360"/>
        <w:ind w:hanging="0" w:left="-2"/>
        <w:jc w:val="both"/>
        <w:rPr>
          <w:sz w:val="22"/>
          <w:szCs w:val="22"/>
        </w:rPr>
      </w:pPr>
      <w:r>
        <w:rPr>
          <w:rFonts w:eastAsia="Merriweather"/>
          <w:sz w:val="22"/>
          <w:szCs w:val="22"/>
        </w:rPr>
        <w:t>A CONTRATADA deverá cumprir, além dos postulados legais vigentes de âmbito federal, estadual ou municipal, as normas de segurança da Contratante;</w:t>
      </w:r>
    </w:p>
    <w:p>
      <w:pPr>
        <w:pStyle w:val="Normal"/>
        <w:spacing w:lineRule="auto" w:line="360"/>
        <w:ind w:hanging="2" w:left="0"/>
        <w:jc w:val="both"/>
        <w:rPr>
          <w:sz w:val="22"/>
          <w:szCs w:val="22"/>
        </w:rPr>
      </w:pPr>
      <w:r>
        <w:rPr>
          <w:rFonts w:eastAsia="Merriweather"/>
          <w:sz w:val="22"/>
          <w:szCs w:val="22"/>
        </w:rPr>
        <w:t>A CONTRATADA deverá proceder a entrega somente mediante a apresentação da Ordem de Execução, na qual constarão, dentre outras informações, o endereço, horário, responsável pelo recebimento/fiscal do contrato, bem como dimensionamento adequado para atender a demanda, devidamente autorizado e, assinada pelo Fiscal do Contrato;</w:t>
      </w:r>
    </w:p>
    <w:p>
      <w:pPr>
        <w:pStyle w:val="Normal"/>
        <w:spacing w:lineRule="auto" w:line="360"/>
        <w:ind w:hanging="2" w:left="0"/>
        <w:jc w:val="both"/>
        <w:rPr>
          <w:sz w:val="22"/>
          <w:szCs w:val="22"/>
        </w:rPr>
      </w:pPr>
      <w:r>
        <w:rPr>
          <w:rFonts w:eastAsia="Merriweather"/>
          <w:sz w:val="22"/>
          <w:szCs w:val="22"/>
        </w:rPr>
        <w:t>Todos os custos para realização da entrega dos bens serão de responsabilidade da CONTRATADA e deverão constar na proposta de preços.</w:t>
      </w:r>
    </w:p>
    <w:p>
      <w:pPr>
        <w:pStyle w:val="Normal"/>
        <w:spacing w:lineRule="auto" w:line="360"/>
        <w:ind w:hanging="2" w:left="0"/>
        <w:jc w:val="both"/>
        <w:rPr>
          <w:sz w:val="22"/>
          <w:szCs w:val="22"/>
        </w:rPr>
      </w:pPr>
      <w:r>
        <w:rPr>
          <w:rFonts w:eastAsia="Merriweather"/>
          <w:sz w:val="22"/>
          <w:szCs w:val="22"/>
        </w:rPr>
        <w:t>Executar a entrega dentro dos parâmetros e rotinas estabelecidos, fornecendo todos os materiais, equipamentos e utensílios em quantidade, qualidade e tecnologia adequadas, com a observância às recomendações aceitas pela boa técnica, normas e legislação;</w:t>
      </w:r>
    </w:p>
    <w:p>
      <w:pPr>
        <w:pStyle w:val="Normal"/>
        <w:spacing w:lineRule="auto" w:line="360"/>
        <w:ind w:hanging="2" w:left="0"/>
        <w:jc w:val="both"/>
        <w:rPr>
          <w:sz w:val="22"/>
          <w:szCs w:val="22"/>
        </w:rPr>
      </w:pPr>
      <w:r>
        <w:rPr>
          <w:rFonts w:eastAsia="Merriweather"/>
          <w:sz w:val="22"/>
          <w:szCs w:val="22"/>
        </w:rPr>
        <w:t xml:space="preserve"> </w:t>
      </w:r>
      <w:r>
        <w:rPr>
          <w:rFonts w:eastAsia="Merriweather"/>
          <w:sz w:val="22"/>
          <w:szCs w:val="22"/>
        </w:rPr>
        <w:t>A CONTRATADA deverá designar por escrito, no ato do recebimento da Autorização de Serviços, preposto (s) que tenham poderes para resolução de possíveis ocorrências durante a execução;</w:t>
      </w:r>
    </w:p>
    <w:p>
      <w:pPr>
        <w:pStyle w:val="Normal"/>
        <w:spacing w:lineRule="auto" w:line="360"/>
        <w:ind w:hanging="2" w:left="0"/>
        <w:jc w:val="both"/>
        <w:rPr>
          <w:sz w:val="22"/>
          <w:szCs w:val="22"/>
        </w:rPr>
      </w:pPr>
      <w:r>
        <w:rPr>
          <w:rFonts w:eastAsia="Merriweather"/>
          <w:sz w:val="22"/>
          <w:szCs w:val="22"/>
        </w:rPr>
        <w:t>A CONTRATADA deverá responsabilizar-se pelos danos causados diretamente à Administração ou a terceiros, na forma do Art.120 da Lei 14.133/21, de 01 de abril de 2021 e suas alterações posteriores e ainda pelos encargos: trabalhistas, previdenciários, fiscais e comerciais resultantes da prestação de serviços.</w:t>
      </w:r>
    </w:p>
    <w:p>
      <w:pPr>
        <w:pStyle w:val="Normal"/>
        <w:spacing w:lineRule="auto" w:line="360"/>
        <w:ind w:hanging="2" w:left="0"/>
        <w:jc w:val="both"/>
        <w:rPr>
          <w:sz w:val="22"/>
          <w:szCs w:val="22"/>
        </w:rPr>
      </w:pPr>
      <w:r>
        <w:rPr>
          <w:rFonts w:eastAsia="Merriweather"/>
          <w:sz w:val="22"/>
          <w:szCs w:val="22"/>
        </w:rPr>
        <w:t>A CONTRATADA deverá prestar todos os esclarecimentos que lhe forem solicitados pela CONTRATANTE, atendendo prontamente a quaisquer reclamações.</w:t>
      </w:r>
    </w:p>
    <w:p>
      <w:pPr>
        <w:pStyle w:val="Normal"/>
        <w:spacing w:lineRule="auto" w:line="360"/>
        <w:ind w:hanging="2" w:left="0"/>
        <w:jc w:val="both"/>
        <w:rPr>
          <w:sz w:val="22"/>
          <w:szCs w:val="22"/>
        </w:rPr>
      </w:pPr>
      <w:r>
        <w:rPr>
          <w:rFonts w:eastAsia="Merriweather"/>
          <w:sz w:val="22"/>
          <w:szCs w:val="22"/>
        </w:rPr>
        <w:t>A CONTRATADA deverá responsabilizar-se pelos vícios e danos decorrentes do objeto, de acordo com os artigos 12, 13 e 17 a 27, do Código de Defesa do Consumidor (Lei nº 8.078, de 1990), ficando a Contratante autorizada a descontar dos pagamentos devidos à Contratada, o valor correspondente aos danos sofridos;</w:t>
      </w:r>
    </w:p>
    <w:p>
      <w:pPr>
        <w:pStyle w:val="Normal"/>
        <w:spacing w:lineRule="auto" w:line="360"/>
        <w:ind w:hanging="2" w:left="0"/>
        <w:jc w:val="both"/>
        <w:rPr>
          <w:sz w:val="22"/>
          <w:szCs w:val="22"/>
        </w:rPr>
      </w:pPr>
      <w:r>
        <w:rPr>
          <w:rFonts w:eastAsia="Merriweather"/>
          <w:sz w:val="22"/>
          <w:szCs w:val="22"/>
        </w:rPr>
        <w:t>Prazo de garantia do produto de 01 (um) ano contra defeitos de fabricação, fornecida pela empresa proponente, bem como as demais disposições do Código de Defesa ao Consumidor (Lei federal n. 8.078, de 11 de setembro de 1990).</w:t>
      </w:r>
    </w:p>
    <w:p>
      <w:pPr>
        <w:pStyle w:val="Normal"/>
        <w:spacing w:lineRule="auto" w:line="360"/>
        <w:ind w:hanging="2" w:left="0"/>
        <w:jc w:val="both"/>
        <w:rPr>
          <w:sz w:val="22"/>
          <w:szCs w:val="22"/>
        </w:rPr>
      </w:pPr>
      <w:r>
        <w:rPr>
          <w:rFonts w:eastAsia="Merriweather"/>
          <w:sz w:val="22"/>
          <w:szCs w:val="22"/>
        </w:rPr>
        <w:t>A garantia será prestada com vistas a manter o(s) produto(s) fornecidos em perfeitas condições de uso/consumo, sem qualquer ônus/custo adicional para o Município.</w:t>
      </w:r>
    </w:p>
    <w:p>
      <w:pPr>
        <w:pStyle w:val="Normal"/>
        <w:spacing w:lineRule="auto" w:line="360"/>
        <w:ind w:hanging="2" w:left="0"/>
        <w:jc w:val="both"/>
        <w:rPr>
          <w:sz w:val="22"/>
          <w:szCs w:val="22"/>
        </w:rPr>
      </w:pPr>
      <w:r>
        <w:rPr>
          <w:rFonts w:eastAsia="Merriweather"/>
          <w:sz w:val="22"/>
          <w:szCs w:val="22"/>
        </w:rPr>
        <w:t>A garantia abrange a realização da manutenção corretiva dos bens pelo próprio Contratado, ou, se for o caso, por meio de assistência técnica autorizada, de acordo com as normas técnicas específicas.</w:t>
      </w:r>
    </w:p>
    <w:p>
      <w:pPr>
        <w:pStyle w:val="Normal"/>
        <w:spacing w:lineRule="auto" w:line="360"/>
        <w:ind w:hanging="2" w:left="0"/>
        <w:jc w:val="both"/>
        <w:rPr>
          <w:sz w:val="22"/>
          <w:szCs w:val="22"/>
        </w:rPr>
      </w:pPr>
      <w:r>
        <w:rPr>
          <w:rFonts w:eastAsia="Merriweather"/>
          <w:sz w:val="22"/>
          <w:szCs w:val="22"/>
        </w:rPr>
        <w:t>Entende-se por manutenção corretiva aquela destinada a corrigir os defeitos apresentados pelos bens, compreendendo a substituição de peças, a realização de ajustes, reparos e correções necessárias.</w:t>
      </w:r>
    </w:p>
    <w:p>
      <w:pPr>
        <w:pStyle w:val="Normal"/>
        <w:spacing w:lineRule="auto" w:line="360"/>
        <w:ind w:hanging="2" w:left="0"/>
        <w:jc w:val="both"/>
        <w:rPr>
          <w:sz w:val="22"/>
          <w:szCs w:val="22"/>
        </w:rPr>
      </w:pPr>
      <w:r>
        <w:rPr>
          <w:rFonts w:eastAsia="Merriweather"/>
          <w:sz w:val="22"/>
          <w:szCs w:val="22"/>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pPr>
        <w:pStyle w:val="Normal"/>
        <w:spacing w:lineRule="auto" w:line="360"/>
        <w:ind w:hanging="2" w:left="0"/>
        <w:jc w:val="both"/>
        <w:rPr>
          <w:sz w:val="22"/>
          <w:szCs w:val="22"/>
        </w:rPr>
      </w:pPr>
      <w:r>
        <w:rPr>
          <w:rFonts w:eastAsia="Merriweather"/>
          <w:sz w:val="22"/>
          <w:szCs w:val="22"/>
        </w:rPr>
        <w:t>Uma vez notificado, o fornecedor realizará a reparação ou substituição dos bens que apresentarem vício ou defeito no prazo de até 15 (quinze) dias úteis, contados a partir da data de retirada do equipamento das dependências da Administração pelo fornecedor ou pela assistência técnica autorizada.</w:t>
      </w:r>
    </w:p>
    <w:p>
      <w:pPr>
        <w:pStyle w:val="Normal"/>
        <w:spacing w:lineRule="auto" w:line="360"/>
        <w:ind w:hanging="2" w:left="0"/>
        <w:jc w:val="both"/>
        <w:rPr>
          <w:sz w:val="22"/>
          <w:szCs w:val="22"/>
        </w:rPr>
      </w:pPr>
      <w:r>
        <w:rPr>
          <w:rFonts w:eastAsia="Merriweather"/>
          <w:sz w:val="22"/>
          <w:szCs w:val="22"/>
        </w:rPr>
        <w:t>O prazo indicado no subitem anterior, durante seu transcurso, poderá ser prorrogado uma única vez, por igual período, mediante solicitação escrita e justificada do Contratado, aceita pelo Contratante.</w:t>
      </w:r>
    </w:p>
    <w:p>
      <w:pPr>
        <w:pStyle w:val="Normal"/>
        <w:spacing w:lineRule="auto" w:line="360"/>
        <w:ind w:hanging="2" w:left="0"/>
        <w:jc w:val="both"/>
        <w:rPr>
          <w:sz w:val="22"/>
          <w:szCs w:val="22"/>
        </w:rPr>
      </w:pPr>
      <w:r>
        <w:rPr>
          <w:rFonts w:eastAsia="Merriweather"/>
          <w:sz w:val="22"/>
          <w:szCs w:val="22"/>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pPr>
        <w:pStyle w:val="Normal"/>
        <w:spacing w:lineRule="auto" w:line="360"/>
        <w:ind w:hanging="2" w:left="0"/>
        <w:jc w:val="both"/>
        <w:rPr>
          <w:sz w:val="22"/>
          <w:szCs w:val="22"/>
        </w:rPr>
      </w:pPr>
      <w:r>
        <w:rPr>
          <w:rFonts w:eastAsia="Merriweather"/>
          <w:sz w:val="22"/>
          <w:szCs w:val="22"/>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pPr>
        <w:pStyle w:val="Normal"/>
        <w:spacing w:lineRule="auto" w:line="360"/>
        <w:ind w:hanging="2" w:left="0"/>
        <w:jc w:val="both"/>
        <w:rPr>
          <w:sz w:val="22"/>
          <w:szCs w:val="22"/>
        </w:rPr>
      </w:pPr>
      <w:r>
        <w:rPr>
          <w:rFonts w:eastAsia="Merriweather"/>
          <w:sz w:val="22"/>
          <w:szCs w:val="22"/>
        </w:rPr>
        <w:t>O custo referente ao transporte dos equipamentos cobertos pela garantia será de responsabilidade do Contratado.</w:t>
      </w:r>
    </w:p>
    <w:p>
      <w:pPr>
        <w:pStyle w:val="Normal"/>
        <w:spacing w:lineRule="auto" w:line="360"/>
        <w:ind w:hanging="2" w:left="0"/>
        <w:jc w:val="both"/>
        <w:rPr>
          <w:sz w:val="22"/>
          <w:szCs w:val="22"/>
        </w:rPr>
      </w:pPr>
      <w:permStart w:id="1831940728" w:edGrp="none"/>
      <w:r>
        <w:rPr>
          <w:rFonts w:eastAsia="Merriweather"/>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ermEnd w:id="1831940728"/>
    </w:p>
    <w:p>
      <w:pPr>
        <w:pStyle w:val="Normal"/>
        <w:spacing w:lineRule="auto" w:line="360"/>
        <w:ind w:hanging="2" w:left="0"/>
        <w:jc w:val="both"/>
        <w:rPr>
          <w:sz w:val="22"/>
          <w:szCs w:val="22"/>
        </w:rPr>
      </w:pPr>
      <w:r>
        <w:rPr>
          <w:rFonts w:eastAsia="Merriweather"/>
          <w:sz w:val="22"/>
          <w:szCs w:val="22"/>
        </w:rPr>
        <w:t>Por quais quer responsabilidade decorrente de ações judiciais de terceiros, que lhe venham a ser exigidas por força de lei, ligadas ao cumprimento do presente Contrato;</w:t>
      </w:r>
    </w:p>
    <w:p>
      <w:pPr>
        <w:pStyle w:val="Normal"/>
        <w:spacing w:lineRule="auto" w:line="360"/>
        <w:ind w:hanging="2" w:left="0"/>
        <w:jc w:val="both"/>
        <w:rPr>
          <w:sz w:val="22"/>
          <w:szCs w:val="22"/>
        </w:rPr>
      </w:pPr>
      <w:r>
        <w:rPr>
          <w:sz w:val="22"/>
          <w:szCs w:val="22"/>
        </w:rPr>
      </w:r>
    </w:p>
    <w:p>
      <w:pPr>
        <w:pStyle w:val="Normal"/>
        <w:widowControl w:val="false"/>
        <w:spacing w:lineRule="auto" w:line="360"/>
        <w:ind w:hanging="2" w:left="0"/>
        <w:jc w:val="both"/>
        <w:rPr>
          <w:sz w:val="22"/>
          <w:szCs w:val="22"/>
        </w:rPr>
      </w:pPr>
      <w:r>
        <w:rPr>
          <w:b/>
          <w:bCs/>
          <w:sz w:val="22"/>
          <w:szCs w:val="22"/>
        </w:rPr>
        <w:t>12. ADMINISTRAÇÃO E MANUTENÇÃO DE EQUIPAMENTOS</w:t>
      </w:r>
      <w:r>
        <w:rPr>
          <w:sz w:val="22"/>
          <w:szCs w:val="22"/>
        </w:rPr>
        <w:t xml:space="preserve"> </w:t>
      </w:r>
    </w:p>
    <w:p>
      <w:pPr>
        <w:pStyle w:val="Normal"/>
        <w:spacing w:lineRule="auto" w:line="360"/>
        <w:ind w:hanging="2" w:left="0"/>
        <w:jc w:val="both"/>
        <w:rPr>
          <w:sz w:val="22"/>
          <w:szCs w:val="22"/>
        </w:rPr>
      </w:pPr>
      <w:r>
        <w:rPr>
          <w:rFonts w:eastAsia="Merriweather"/>
          <w:sz w:val="22"/>
          <w:szCs w:val="22"/>
        </w:rPr>
        <w:t>O contrato deverá ser executado fielmente pelas partes, de acordo com as cláusulas avençadas e as normas da Lei nº 14.133, de 2021 e cada parte responderá pelas consequências de sua inexecução total ou parcial.</w:t>
      </w:r>
    </w:p>
    <w:p>
      <w:pPr>
        <w:pStyle w:val="Normal"/>
        <w:spacing w:lineRule="auto" w:line="360"/>
        <w:ind w:hanging="2" w:left="0"/>
        <w:jc w:val="both"/>
        <w:rPr>
          <w:sz w:val="22"/>
          <w:szCs w:val="22"/>
        </w:rPr>
      </w:pPr>
      <w:r>
        <w:rPr>
          <w:rFonts w:eastAsia="Merriweather"/>
          <w:sz w:val="22"/>
          <w:szCs w:val="22"/>
        </w:rPr>
        <w:t>Deve ser atentado para o disposto do Decreto Municipal nº 3.537/2023, quanto as atribuições do gestor e fiscal do contrato.</w:t>
      </w:r>
    </w:p>
    <w:p>
      <w:pPr>
        <w:pStyle w:val="Normal"/>
        <w:spacing w:lineRule="auto" w:line="360"/>
        <w:ind w:hanging="2" w:left="0"/>
        <w:jc w:val="both"/>
        <w:rPr>
          <w:sz w:val="22"/>
          <w:szCs w:val="22"/>
        </w:rPr>
      </w:pPr>
      <w:r>
        <w:rPr>
          <w:rFonts w:eastAsia="Merriweather"/>
          <w:sz w:val="22"/>
          <w:szCs w:val="22"/>
        </w:rPr>
        <w:t xml:space="preserve">A execução do contrato deverá ser acompanhada e fiscalizada pelo </w:t>
      </w:r>
      <w:r>
        <w:rPr>
          <w:rFonts w:eastAsia="Merriweather"/>
          <w:b/>
          <w:bCs/>
          <w:sz w:val="22"/>
          <w:szCs w:val="22"/>
        </w:rPr>
        <w:t>fiscal do contrato</w:t>
      </w:r>
      <w:r>
        <w:rPr>
          <w:rFonts w:eastAsia="Merriweather"/>
          <w:sz w:val="22"/>
          <w:szCs w:val="22"/>
        </w:rPr>
        <w:t>, sendo ele: Sr. RENATO REIS DUARTE – Matrícula 1329 – Portaria 2129/2025.</w:t>
      </w:r>
    </w:p>
    <w:p>
      <w:pPr>
        <w:pStyle w:val="Normal"/>
        <w:spacing w:lineRule="auto" w:line="360"/>
        <w:ind w:hanging="2" w:left="0"/>
        <w:jc w:val="both"/>
        <w:rPr>
          <w:sz w:val="22"/>
          <w:szCs w:val="22"/>
        </w:rPr>
      </w:pPr>
      <w:r>
        <w:rPr>
          <w:rFonts w:eastAsia="Merriweather"/>
          <w:sz w:val="22"/>
          <w:szCs w:val="22"/>
        </w:rPr>
        <w:t xml:space="preserve">A </w:t>
      </w:r>
      <w:r>
        <w:rPr>
          <w:rFonts w:eastAsia="Merriweather"/>
          <w:b/>
          <w:bCs/>
          <w:sz w:val="22"/>
          <w:szCs w:val="22"/>
        </w:rPr>
        <w:t>gestão do contrato</w:t>
      </w:r>
      <w:r>
        <w:rPr>
          <w:rFonts w:eastAsia="Merriweather"/>
          <w:sz w:val="22"/>
          <w:szCs w:val="22"/>
        </w:rPr>
        <w:t xml:space="preserve"> deverá ser realizada pela Sra. CAMILA DIAS RAMALHO MATTA, Secretária da Agricultura e Pecuária– Portaria nomeação 14.842/2025 e portaria de gestor do convênio 2129/2025.</w:t>
      </w:r>
    </w:p>
    <w:p>
      <w:pPr>
        <w:pStyle w:val="Normal"/>
        <w:spacing w:lineRule="auto" w:line="360"/>
        <w:ind w:hanging="2" w:left="0"/>
        <w:jc w:val="both"/>
        <w:rPr>
          <w:sz w:val="22"/>
          <w:szCs w:val="22"/>
        </w:rPr>
      </w:pPr>
      <w:r>
        <w:rPr>
          <w:sz w:val="22"/>
          <w:szCs w:val="22"/>
        </w:rPr>
      </w:r>
    </w:p>
    <w:p>
      <w:pPr>
        <w:pStyle w:val="Normal"/>
        <w:widowControl w:val="false"/>
        <w:spacing w:lineRule="auto" w:line="360"/>
        <w:ind w:hanging="2" w:left="0"/>
        <w:jc w:val="both"/>
        <w:rPr>
          <w:sz w:val="22"/>
          <w:szCs w:val="22"/>
        </w:rPr>
      </w:pPr>
      <w:r>
        <w:rPr>
          <w:b/>
          <w:bCs/>
          <w:sz w:val="22"/>
          <w:szCs w:val="22"/>
        </w:rPr>
        <w:t>13. MONITORAMENTO E AVALIAÇÃO DA EXECUÇÃO</w:t>
      </w:r>
      <w:r>
        <w:rPr>
          <w:sz w:val="22"/>
          <w:szCs w:val="22"/>
        </w:rPr>
        <w:t xml:space="preserve"> </w:t>
      </w:r>
    </w:p>
    <w:p>
      <w:pPr>
        <w:pStyle w:val="Normal"/>
        <w:widowControl w:val="false"/>
        <w:spacing w:lineRule="auto" w:line="360"/>
        <w:ind w:hanging="2" w:left="0"/>
        <w:jc w:val="both"/>
        <w:rPr>
          <w:sz w:val="22"/>
          <w:szCs w:val="22"/>
        </w:rPr>
      </w:pPr>
      <w:r>
        <w:rPr>
          <w:rFonts w:eastAsia="Merriweather"/>
          <w:sz w:val="22"/>
          <w:szCs w:val="22"/>
        </w:rPr>
        <w:t>O bem será recebido provisoriamente, de forma sumária, no ato da entrega, acompanhado da nota fiscal ou instrumento de cobrança equivalente, pelo responsável pelo acompanhamento e fiscalização do contrato, para efeito de posterior verificação de sua conformidade com as especificações constantes no Termo de Referência</w:t>
      </w:r>
      <w:r>
        <w:rPr>
          <w:rFonts w:eastAsia="Merriweather"/>
          <w:color w:val="FF0000"/>
          <w:sz w:val="22"/>
          <w:szCs w:val="22"/>
        </w:rPr>
        <w:t xml:space="preserve"> </w:t>
      </w:r>
      <w:r>
        <w:rPr>
          <w:rFonts w:eastAsia="Merriweather"/>
          <w:sz w:val="22"/>
          <w:szCs w:val="22"/>
        </w:rPr>
        <w:t>e na proposta.</w:t>
      </w:r>
    </w:p>
    <w:p>
      <w:pPr>
        <w:pStyle w:val="Normal"/>
        <w:spacing w:lineRule="auto" w:line="360"/>
        <w:ind w:hanging="2" w:left="0"/>
        <w:jc w:val="both"/>
        <w:rPr>
          <w:sz w:val="22"/>
          <w:szCs w:val="22"/>
        </w:rPr>
      </w:pPr>
      <w:r>
        <w:rPr>
          <w:rFonts w:eastAsia="Merriweather"/>
          <w:sz w:val="22"/>
          <w:szCs w:val="22"/>
        </w:rPr>
        <w:t xml:space="preserve">A avaliação da execução do objeto utilizará o relatório denominado – parâmetros de fiscalização, devendo haver a notificação a empresa para que solucione possíveis inconsistências, sempre que a CONTRATADA: </w:t>
      </w:r>
    </w:p>
    <w:p>
      <w:pPr>
        <w:pStyle w:val="Normal"/>
        <w:spacing w:lineRule="auto" w:line="360"/>
        <w:ind w:firstLine="720" w:left="0"/>
        <w:jc w:val="both"/>
        <w:rPr>
          <w:sz w:val="22"/>
          <w:szCs w:val="22"/>
        </w:rPr>
      </w:pPr>
      <w:r>
        <w:rPr>
          <w:rFonts w:eastAsia="Merriweather"/>
          <w:sz w:val="22"/>
          <w:szCs w:val="22"/>
        </w:rPr>
        <w:t xml:space="preserve">a) não produzir os resultados, deixar de executar, ou não executar com a qualidade mínima exigida as atividades contratadas; ou </w:t>
      </w:r>
    </w:p>
    <w:p>
      <w:pPr>
        <w:pStyle w:val="Normal"/>
        <w:spacing w:lineRule="auto" w:line="360"/>
        <w:ind w:firstLine="720" w:left="0"/>
        <w:jc w:val="both"/>
        <w:rPr>
          <w:sz w:val="22"/>
          <w:szCs w:val="22"/>
        </w:rPr>
      </w:pPr>
      <w:r>
        <w:rPr>
          <w:rFonts w:eastAsia="Merriweather"/>
          <w:sz w:val="22"/>
          <w:szCs w:val="22"/>
        </w:rPr>
        <w:t>b) deixar de utilizar materiais e recursos humanos exigidos para a execução, ou utilizá-los com qualidade ou quantidade inferior à demandada.</w:t>
      </w:r>
    </w:p>
    <w:p>
      <w:pPr>
        <w:pStyle w:val="Normal"/>
        <w:spacing w:lineRule="auto" w:line="360"/>
        <w:ind w:hanging="0" w:left="0"/>
        <w:jc w:val="both"/>
        <w:rPr>
          <w:sz w:val="22"/>
          <w:szCs w:val="22"/>
        </w:rPr>
      </w:pPr>
      <w:r>
        <w:rPr>
          <w:rFonts w:eastAsia="Merriweather"/>
          <w:sz w:val="22"/>
          <w:szCs w:val="22"/>
        </w:rPr>
        <w:t>A utilização do, parâmetros de fiscalização não impede a aplicação concomitante de outros mecanismos para a avaliação da execução.</w:t>
      </w:r>
    </w:p>
    <w:p>
      <w:pPr>
        <w:pStyle w:val="Normal"/>
        <w:spacing w:lineRule="auto" w:line="360"/>
        <w:ind w:hanging="2" w:left="0"/>
        <w:jc w:val="both"/>
        <w:rPr>
          <w:sz w:val="22"/>
          <w:szCs w:val="22"/>
        </w:rPr>
      </w:pPr>
      <w:r>
        <w:rPr>
          <w:rFonts w:eastAsia="Merriweather"/>
          <w:sz w:val="22"/>
          <w:szCs w:val="22"/>
        </w:rPr>
        <w:t>O bem poderá ser rejeitado, no todo ou em parte, inclusive antes do recebimento provisório, quando em desacordo com as especificações constantes no Termo de Referência</w:t>
      </w:r>
      <w:r>
        <w:rPr>
          <w:rFonts w:eastAsia="Merriweather"/>
          <w:color w:val="FF0000"/>
          <w:sz w:val="22"/>
          <w:szCs w:val="22"/>
        </w:rPr>
        <w:t xml:space="preserve"> </w:t>
      </w:r>
      <w:r>
        <w:rPr>
          <w:rFonts w:eastAsia="Merriweather"/>
          <w:sz w:val="22"/>
          <w:szCs w:val="22"/>
        </w:rPr>
        <w:t xml:space="preserve">e na proposta, devendo ser substituídos no prazo de </w:t>
      </w:r>
      <w:permStart w:id="543247639" w:edGrp="none"/>
      <w:r>
        <w:rPr>
          <w:rFonts w:eastAsia="Merriweather"/>
          <w:color w:themeColor="text1" w:val="000000"/>
          <w:sz w:val="22"/>
          <w:szCs w:val="22"/>
        </w:rPr>
        <w:t xml:space="preserve">15 (quinze) </w:t>
      </w:r>
      <w:r>
        <w:rPr>
          <w:rFonts w:eastAsia="Merriweather"/>
          <w:sz w:val="22"/>
          <w:szCs w:val="22"/>
        </w:rPr>
        <w:t>dias, a contar da notificação da contratada, às suas custas, sem prejuízo da aplicação das penalidades.</w:t>
      </w:r>
      <w:permEnd w:id="543247639"/>
    </w:p>
    <w:p>
      <w:pPr>
        <w:pStyle w:val="Normal"/>
        <w:spacing w:lineRule="auto" w:line="360"/>
        <w:ind w:hanging="2" w:left="0"/>
        <w:jc w:val="both"/>
        <w:rPr>
          <w:sz w:val="22"/>
          <w:szCs w:val="22"/>
        </w:rPr>
      </w:pPr>
      <w:r>
        <w:rPr>
          <w:rFonts w:eastAsia="Merriweather"/>
          <w:sz w:val="22"/>
          <w:szCs w:val="22"/>
        </w:rPr>
        <w:t xml:space="preserve">O recebimento definitivo ocorrerá no prazo </w:t>
      </w:r>
      <w:r>
        <w:rPr>
          <w:rFonts w:eastAsia="Merriweather"/>
          <w:color w:themeColor="text1" w:val="000000"/>
          <w:sz w:val="22"/>
          <w:szCs w:val="22"/>
        </w:rPr>
        <w:t xml:space="preserve">de </w:t>
      </w:r>
      <w:permStart w:id="1427723871" w:edGrp="none"/>
      <w:r>
        <w:rPr>
          <w:rFonts w:eastAsia="Merriweather"/>
          <w:color w:themeColor="text1" w:val="000000"/>
          <w:sz w:val="22"/>
          <w:szCs w:val="22"/>
        </w:rPr>
        <w:t xml:space="preserve">10 (dez) dias úteis, </w:t>
      </w:r>
      <w:r>
        <w:rPr>
          <w:rFonts w:eastAsia="Merriweather"/>
          <w:sz w:val="22"/>
          <w:szCs w:val="22"/>
        </w:rPr>
        <w:t xml:space="preserve">a contar do recebimento da nota fiscal ou instrumento de cobrança equivalente pela Administração, após a verificação da qualidade e quantidade do material/serviço e consequente aceitação mediante termo detalhado. </w:t>
      </w:r>
      <w:permEnd w:id="1427723871"/>
    </w:p>
    <w:p>
      <w:pPr>
        <w:pStyle w:val="Normal"/>
        <w:spacing w:lineRule="auto" w:line="360"/>
        <w:ind w:hanging="2" w:left="0"/>
        <w:jc w:val="both"/>
        <w:rPr>
          <w:sz w:val="22"/>
          <w:szCs w:val="22"/>
        </w:rPr>
      </w:pPr>
      <w:r>
        <w:rPr>
          <w:rFonts w:eastAsia="Merriweather"/>
          <w:sz w:val="22"/>
          <w:szCs w:val="22"/>
        </w:rPr>
        <w:t>O prazo para recebimento definitivo poderá ser excepcionalmente prorrogado, de forma justificada, por igual período, quando houver necessidade de diligências para a aferição do atendimento das exigências contratuais.</w:t>
      </w:r>
    </w:p>
    <w:p>
      <w:pPr>
        <w:pStyle w:val="Normal"/>
        <w:spacing w:lineRule="auto" w:line="360"/>
        <w:ind w:hanging="2" w:left="0"/>
        <w:jc w:val="both"/>
        <w:rPr>
          <w:sz w:val="22"/>
          <w:szCs w:val="22"/>
        </w:rPr>
      </w:pPr>
      <w:r>
        <w:rPr>
          <w:rFonts w:eastAsia="Merriweather"/>
          <w:sz w:val="22"/>
          <w:szCs w:val="22"/>
        </w:rPr>
        <w:t>No caso de controvérsia sobre a execução do objeto, quanto à dimensão, qualidade e quantidade, deverá ser observado o teor do § 4º, do art. 39 do Decreto Municipal nº. 3537, de 09 de maio de 2023, comunicando-se à empresa para emissão de Nota Fiscal no que pertence à parcela incontroversa da execução do objeto, para efeito de liquidação e pagamento.</w:t>
      </w:r>
    </w:p>
    <w:p>
      <w:pPr>
        <w:pStyle w:val="Normal"/>
        <w:spacing w:lineRule="auto" w:line="360"/>
        <w:ind w:hanging="2" w:left="0"/>
        <w:jc w:val="both"/>
        <w:rPr>
          <w:sz w:val="22"/>
          <w:szCs w:val="22"/>
        </w:rPr>
      </w:pPr>
      <w:r>
        <w:rPr>
          <w:rFonts w:eastAsia="Merriweather"/>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ormal"/>
        <w:spacing w:lineRule="auto" w:line="360"/>
        <w:ind w:hanging="2" w:left="0"/>
        <w:jc w:val="both"/>
        <w:rPr>
          <w:sz w:val="22"/>
          <w:szCs w:val="22"/>
        </w:rPr>
      </w:pPr>
      <w:r>
        <w:rPr>
          <w:rFonts w:eastAsia="Merriweather"/>
          <w:sz w:val="22"/>
          <w:szCs w:val="22"/>
        </w:rPr>
        <w:t>O recebimento provisório ou definitivo não excluirá a responsabilidade civil pela solidez e pela segurança do serviço nem a responsabilidade ético-profissional pela perfeita execução do contrato.</w:t>
      </w:r>
    </w:p>
    <w:p>
      <w:pPr>
        <w:pStyle w:val="Normal"/>
        <w:spacing w:lineRule="auto" w:line="360"/>
        <w:ind w:hanging="2" w:left="0"/>
        <w:jc w:val="both"/>
        <w:rPr>
          <w:sz w:val="22"/>
          <w:szCs w:val="22"/>
        </w:rPr>
      </w:pPr>
      <w:r>
        <w:rPr>
          <w:rFonts w:eastAsia="Merriweather"/>
          <w:sz w:val="22"/>
          <w:szCs w:val="22"/>
        </w:rPr>
        <w:t>Recebida a Nota Fiscal ou documento de cobrança equivalente, correrá o prazo de dez dias úteis para fins de liquidação, na forma desta seção, prorrogáveis por igual período, conforme a legislação aplicável.</w:t>
      </w:r>
    </w:p>
    <w:p>
      <w:pPr>
        <w:pStyle w:val="Normal"/>
        <w:spacing w:lineRule="auto" w:line="360"/>
        <w:ind w:hanging="2" w:left="0"/>
        <w:jc w:val="both"/>
        <w:rPr/>
      </w:pPr>
      <w:r>
        <w:rPr>
          <w:rFonts w:eastAsia="Merriweather"/>
          <w:sz w:val="22"/>
          <w:szCs w:val="22"/>
        </w:rPr>
        <w:t>O prazo de que trata o item anterior será reduzido à metade, mantendo-se a possibilidade de prorrogação, no caso de contratações decorrentes de despesas cujos valores não ultrapassem o limite de que trata o</w:t>
      </w:r>
      <w:r>
        <w:fldChar w:fldCharType="begin"/>
      </w:r>
      <w:r>
        <w:rPr>
          <w:rStyle w:val="Style3"/>
          <w:sz w:val="22"/>
          <w:szCs w:val="22"/>
          <w:rFonts w:eastAsia="Merriweather"/>
        </w:rPr>
        <w:instrText xml:space="preserve"> HYPERLINK "http://www.planalto.gov.br/ccivil_03/_ato2019-2022/2021/lei/L14133.htm" \l "art75"</w:instrText>
      </w:r>
      <w:r>
        <w:rPr>
          <w:rStyle w:val="Style3"/>
          <w:sz w:val="22"/>
          <w:szCs w:val="22"/>
          <w:rFonts w:eastAsia="Merriweather"/>
        </w:rPr>
        <w:fldChar w:fldCharType="separate"/>
      </w:r>
      <w:r>
        <w:rPr>
          <w:rStyle w:val="Style3"/>
          <w:rFonts w:eastAsia="Merriweather"/>
          <w:sz w:val="22"/>
          <w:szCs w:val="22"/>
        </w:rPr>
        <w:t xml:space="preserve"> </w:t>
      </w:r>
      <w:r>
        <w:rPr>
          <w:rStyle w:val="Style3"/>
          <w:sz w:val="22"/>
          <w:szCs w:val="22"/>
          <w:rFonts w:eastAsia="Merriweather"/>
        </w:rPr>
        <w:fldChar w:fldCharType="end"/>
      </w:r>
      <w:r>
        <w:fldChar w:fldCharType="begin"/>
      </w:r>
      <w:r>
        <w:rPr>
          <w:rStyle w:val="Style3"/>
          <w:sz w:val="22"/>
          <w:szCs w:val="22"/>
          <w:rFonts w:eastAsia="Merriweather"/>
        </w:rPr>
        <w:instrText xml:space="preserve"> HYPERLINK "http://www.planalto.gov.br/ccivil_03/_ato2019-2022/2021/lei/L14133.htm" \l "art75"</w:instrText>
      </w:r>
      <w:r>
        <w:rPr>
          <w:rStyle w:val="Style3"/>
          <w:sz w:val="22"/>
          <w:szCs w:val="22"/>
          <w:rFonts w:eastAsia="Merriweather"/>
        </w:rPr>
        <w:fldChar w:fldCharType="separate"/>
      </w:r>
      <w:r>
        <w:rPr>
          <w:rStyle w:val="Style3"/>
          <w:rFonts w:eastAsia="Merriweather"/>
          <w:sz w:val="22"/>
          <w:szCs w:val="22"/>
        </w:rPr>
        <w:t>inciso II do art. 160 do Decreto Municipal nº 3735, de 09 de maio de 202</w:t>
      </w:r>
      <w:r>
        <w:rPr>
          <w:rStyle w:val="Style3"/>
          <w:sz w:val="22"/>
          <w:szCs w:val="22"/>
          <w:rFonts w:eastAsia="Merriweather"/>
        </w:rPr>
        <w:fldChar w:fldCharType="end"/>
      </w:r>
      <w:r>
        <w:rPr>
          <w:rFonts w:eastAsia="Merriweather"/>
          <w:sz w:val="22"/>
          <w:szCs w:val="22"/>
        </w:rPr>
        <w:t>3.</w:t>
      </w:r>
    </w:p>
    <w:p>
      <w:pPr>
        <w:pStyle w:val="Normal"/>
        <w:widowControl w:val="false"/>
        <w:spacing w:lineRule="auto" w:line="360"/>
        <w:ind w:hanging="2" w:left="0"/>
        <w:jc w:val="both"/>
        <w:rPr>
          <w:sz w:val="22"/>
          <w:szCs w:val="22"/>
        </w:rPr>
      </w:pPr>
      <w:r>
        <w:rPr>
          <w:b/>
          <w:bCs/>
          <w:sz w:val="22"/>
          <w:szCs w:val="22"/>
        </w:rPr>
        <w:t>14. DO PAGAMENTO</w:t>
      </w:r>
    </w:p>
    <w:p>
      <w:pPr>
        <w:pStyle w:val="Normal"/>
        <w:spacing w:lineRule="auto" w:line="360"/>
        <w:ind w:hanging="2" w:left="0"/>
        <w:jc w:val="both"/>
        <w:rPr>
          <w:sz w:val="22"/>
          <w:szCs w:val="22"/>
        </w:rPr>
      </w:pPr>
      <w:r>
        <w:rPr>
          <w:rFonts w:eastAsia="Merriweather"/>
          <w:sz w:val="22"/>
          <w:szCs w:val="22"/>
        </w:rPr>
        <w:t>Os bens serão recebidos provisoriamente, de forma sumária, no ato da entrega, acompanhado da nota fiscal ou instrumento de cobrança equivalente, pelo responsável pelo acompanhamento e fiscalização do contrato, para efeito de posterior verificação de sua conformidade com as especificações constantes no Termo de Referência</w:t>
      </w:r>
      <w:r>
        <w:rPr>
          <w:rFonts w:eastAsia="Merriweather"/>
          <w:color w:val="FF0000"/>
          <w:sz w:val="22"/>
          <w:szCs w:val="22"/>
        </w:rPr>
        <w:t xml:space="preserve"> </w:t>
      </w:r>
      <w:r>
        <w:rPr>
          <w:rFonts w:eastAsia="Merriweather"/>
          <w:sz w:val="22"/>
          <w:szCs w:val="22"/>
        </w:rPr>
        <w:t>e na proposta.</w:t>
      </w:r>
    </w:p>
    <w:p>
      <w:pPr>
        <w:pStyle w:val="Normal"/>
        <w:spacing w:lineRule="auto" w:line="360"/>
        <w:ind w:hanging="2" w:left="0"/>
        <w:jc w:val="both"/>
        <w:rPr>
          <w:sz w:val="22"/>
          <w:szCs w:val="22"/>
        </w:rPr>
      </w:pPr>
      <w:r>
        <w:rPr>
          <w:rFonts w:eastAsia="Merriweather"/>
          <w:sz w:val="22"/>
          <w:szCs w:val="22"/>
        </w:rPr>
        <w:t xml:space="preserve">A avaliação da execução do objeto utilizará o relatório denominado – parâmetros de fiscalização, devendo haver a notificação a empresa para que solucione possíveis inconsistências, sempre que a CONTRATADA: </w:t>
      </w:r>
    </w:p>
    <w:p>
      <w:pPr>
        <w:pStyle w:val="Normal"/>
        <w:spacing w:lineRule="auto" w:line="360"/>
        <w:ind w:firstLine="720" w:left="0"/>
        <w:jc w:val="both"/>
        <w:rPr>
          <w:sz w:val="22"/>
          <w:szCs w:val="22"/>
        </w:rPr>
      </w:pPr>
      <w:r>
        <w:rPr>
          <w:rFonts w:eastAsia="Merriweather"/>
          <w:sz w:val="22"/>
          <w:szCs w:val="22"/>
        </w:rPr>
        <w:t xml:space="preserve">a) não produzir os resultados, deixar de executar, ou não executar com a qualidade mínima exigida as atividades contratadas; ou </w:t>
      </w:r>
    </w:p>
    <w:p>
      <w:pPr>
        <w:pStyle w:val="Normal"/>
        <w:spacing w:lineRule="auto" w:line="360"/>
        <w:ind w:firstLine="720" w:left="0"/>
        <w:jc w:val="both"/>
        <w:rPr>
          <w:sz w:val="22"/>
          <w:szCs w:val="22"/>
        </w:rPr>
      </w:pPr>
      <w:r>
        <w:rPr>
          <w:rFonts w:eastAsia="Merriweather"/>
          <w:sz w:val="22"/>
          <w:szCs w:val="22"/>
        </w:rPr>
        <w:t>b) deixar de utilizar materiais e recursos humanos exigidos para a execução, ou utilizá-los com qualidade ou quantidade inferior à demandada.</w:t>
      </w:r>
    </w:p>
    <w:p>
      <w:pPr>
        <w:pStyle w:val="Normal"/>
        <w:spacing w:lineRule="auto" w:line="360"/>
        <w:ind w:hanging="0" w:left="0"/>
        <w:jc w:val="both"/>
        <w:rPr>
          <w:sz w:val="22"/>
          <w:szCs w:val="22"/>
        </w:rPr>
      </w:pPr>
      <w:r>
        <w:rPr>
          <w:rFonts w:eastAsia="Merriweather"/>
          <w:sz w:val="22"/>
          <w:szCs w:val="22"/>
        </w:rPr>
        <w:t>A utilização do, parâmetros de fiscalização não impede a aplicação concomitante de outros mecanismos para a avaliação da execução.</w:t>
      </w:r>
    </w:p>
    <w:p>
      <w:pPr>
        <w:pStyle w:val="Normal"/>
        <w:spacing w:lineRule="auto" w:line="360"/>
        <w:ind w:hanging="2" w:left="0"/>
        <w:jc w:val="both"/>
        <w:rPr>
          <w:sz w:val="22"/>
          <w:szCs w:val="22"/>
        </w:rPr>
      </w:pPr>
      <w:r>
        <w:rPr>
          <w:rFonts w:eastAsia="Merriweather"/>
          <w:sz w:val="22"/>
          <w:szCs w:val="22"/>
        </w:rPr>
        <w:t>Os bens poderão ser rejeitados, no todo ou em parte, inclusive antes do recebimento provisório, quando em desacordo com as especificações constantes no Termo de Referência</w:t>
      </w:r>
      <w:r>
        <w:rPr>
          <w:rFonts w:eastAsia="Merriweather"/>
          <w:color w:val="FF0000"/>
          <w:sz w:val="22"/>
          <w:szCs w:val="22"/>
        </w:rPr>
        <w:t xml:space="preserve"> </w:t>
      </w:r>
      <w:r>
        <w:rPr>
          <w:rFonts w:eastAsia="Merriweather"/>
          <w:sz w:val="22"/>
          <w:szCs w:val="22"/>
        </w:rPr>
        <w:t xml:space="preserve">e na proposta, devendo ser substituídos no prazo de </w:t>
      </w:r>
      <w:permStart w:id="1916229577" w:edGrp="everyone"/>
      <w:r>
        <w:rPr>
          <w:rFonts w:eastAsia="Merriweather"/>
          <w:color w:themeColor="text1" w:val="000000"/>
          <w:sz w:val="22"/>
          <w:szCs w:val="22"/>
        </w:rPr>
        <w:t xml:space="preserve">15 (quinze) </w:t>
      </w:r>
      <w:r>
        <w:rPr>
          <w:rFonts w:eastAsia="Merriweather"/>
          <w:sz w:val="22"/>
          <w:szCs w:val="22"/>
        </w:rPr>
        <w:t>dias, a contar da notificação da contratada, às suas custas, sem prejuízo da aplicação das penalidades.</w:t>
      </w:r>
      <w:permEnd w:id="1916229577"/>
    </w:p>
    <w:p>
      <w:pPr>
        <w:pStyle w:val="Normal"/>
        <w:spacing w:lineRule="auto" w:line="360"/>
        <w:ind w:hanging="2" w:left="0"/>
        <w:jc w:val="both"/>
        <w:rPr>
          <w:sz w:val="22"/>
          <w:szCs w:val="22"/>
        </w:rPr>
      </w:pPr>
      <w:r>
        <w:rPr>
          <w:rFonts w:eastAsia="Merriweather"/>
          <w:sz w:val="22"/>
          <w:szCs w:val="22"/>
        </w:rPr>
        <w:t xml:space="preserve">O recebimento definitivo ocorrerá no prazo </w:t>
      </w:r>
      <w:r>
        <w:rPr>
          <w:rFonts w:eastAsia="Merriweather"/>
          <w:color w:themeColor="text1" w:val="000000"/>
          <w:sz w:val="22"/>
          <w:szCs w:val="22"/>
        </w:rPr>
        <w:t xml:space="preserve">de </w:t>
      </w:r>
      <w:permStart w:id="1550679193" w:edGrp="everyone"/>
      <w:r>
        <w:rPr>
          <w:rFonts w:eastAsia="Merriweather"/>
          <w:color w:themeColor="text1" w:val="000000"/>
          <w:sz w:val="22"/>
          <w:szCs w:val="22"/>
        </w:rPr>
        <w:t xml:space="preserve">10 (dez) dias úteis, </w:t>
      </w:r>
      <w:r>
        <w:rPr>
          <w:rFonts w:eastAsia="Merriweather"/>
          <w:sz w:val="22"/>
          <w:szCs w:val="22"/>
        </w:rPr>
        <w:t xml:space="preserve">a contar do recebimento da nota fiscal ou instrumento de cobrança equivalente pela Administração, após a verificação da qualidade e quantidade do material/serviço e consequente aceitação mediante termo detalhado. </w:t>
      </w:r>
      <w:permEnd w:id="1550679193"/>
    </w:p>
    <w:p>
      <w:pPr>
        <w:pStyle w:val="Normal"/>
        <w:spacing w:lineRule="auto" w:line="360"/>
        <w:ind w:hanging="2" w:left="0"/>
        <w:jc w:val="both"/>
        <w:rPr>
          <w:sz w:val="22"/>
          <w:szCs w:val="22"/>
        </w:rPr>
      </w:pPr>
      <w:r>
        <w:rPr>
          <w:rFonts w:eastAsia="Merriweather"/>
          <w:sz w:val="22"/>
          <w:szCs w:val="22"/>
        </w:rPr>
        <w:t>O prazo para recebimento definitivo poderá ser excepcionalmente prorrogado, de forma justificada, por igual período, quando houver necessidade de diligências para a aferição do atendimento das exigências contratuais.</w:t>
      </w:r>
    </w:p>
    <w:p>
      <w:pPr>
        <w:pStyle w:val="Normal"/>
        <w:spacing w:lineRule="auto" w:line="360"/>
        <w:ind w:hanging="2" w:left="0"/>
        <w:jc w:val="both"/>
        <w:rPr>
          <w:sz w:val="22"/>
          <w:szCs w:val="22"/>
        </w:rPr>
      </w:pPr>
      <w:r>
        <w:rPr>
          <w:rFonts w:eastAsia="Merriweather"/>
          <w:sz w:val="22"/>
          <w:szCs w:val="22"/>
        </w:rPr>
        <w:t>No caso de controvérsia sobre a execução do objeto, quanto à dimensão, qualidade e quantidade, deverá ser observado o teor do § 4º, do art. 39 do Decreto Municipal nº. 3537, de 09 de maio de 2023, comunicando-se à empresa para emissão de Nota Fiscal no que pertence à parcela incontroversa da execução do objeto, para efeito de liquidação e pagamento.</w:t>
      </w:r>
    </w:p>
    <w:p>
      <w:pPr>
        <w:pStyle w:val="Normal"/>
        <w:spacing w:lineRule="auto" w:line="360"/>
        <w:ind w:hanging="2" w:left="0"/>
        <w:jc w:val="both"/>
        <w:rPr>
          <w:sz w:val="22"/>
          <w:szCs w:val="22"/>
        </w:rPr>
      </w:pPr>
      <w:r>
        <w:rPr>
          <w:rFonts w:eastAsia="Merriweather"/>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ormal"/>
        <w:spacing w:lineRule="auto" w:line="360"/>
        <w:ind w:hanging="2" w:left="0"/>
        <w:jc w:val="both"/>
        <w:rPr>
          <w:sz w:val="22"/>
          <w:szCs w:val="22"/>
        </w:rPr>
      </w:pPr>
      <w:r>
        <w:rPr>
          <w:rFonts w:eastAsia="Merriweather"/>
          <w:sz w:val="22"/>
          <w:szCs w:val="22"/>
        </w:rPr>
        <w:t>O recebimento provisório ou definitivo não excluirá a responsabilidade civil pela solidez e pela segurança do serviço nem a responsabilidade ético-profissional pela perfeita execução do contrato.</w:t>
      </w:r>
    </w:p>
    <w:p>
      <w:pPr>
        <w:pStyle w:val="Normal"/>
        <w:spacing w:lineRule="auto" w:line="360"/>
        <w:ind w:hanging="2" w:left="0"/>
        <w:jc w:val="both"/>
        <w:rPr>
          <w:sz w:val="22"/>
          <w:szCs w:val="22"/>
        </w:rPr>
      </w:pPr>
      <w:r>
        <w:rPr>
          <w:rFonts w:eastAsia="Merriweather"/>
          <w:sz w:val="22"/>
          <w:szCs w:val="22"/>
        </w:rPr>
        <w:t>Recebida a Nota Fiscal ou documento de cobrança equivalente, correrá o prazo de dez dias úteis para fins de liquidação, na forma desta seção, prorrogáveis por igual período, conforme a legislação aplicável.</w:t>
      </w:r>
    </w:p>
    <w:p>
      <w:pPr>
        <w:pStyle w:val="Normal"/>
        <w:spacing w:lineRule="auto" w:line="360"/>
        <w:ind w:hanging="2" w:left="0"/>
        <w:jc w:val="both"/>
        <w:rPr/>
      </w:pPr>
      <w:r>
        <w:rPr>
          <w:rFonts w:eastAsia="Merriweather"/>
          <w:sz w:val="22"/>
          <w:szCs w:val="22"/>
        </w:rPr>
        <w:t>O prazo de que trata o item anterior será reduzido à metade, mantendo-se a possibilidade de prorrogação, no caso de contratações decorrentes de despesas cujos valores não ultrapassem o limite de que trata o</w:t>
      </w:r>
      <w:r>
        <w:fldChar w:fldCharType="begin"/>
      </w:r>
      <w:r>
        <w:rPr>
          <w:rStyle w:val="Style3"/>
          <w:sz w:val="22"/>
          <w:szCs w:val="22"/>
          <w:rFonts w:eastAsia="Merriweather"/>
        </w:rPr>
        <w:instrText xml:space="preserve"> HYPERLINK "http://www.planalto.gov.br/ccivil_03/_ato2019-2022/2021/lei/L14133.htm" \l "art75"</w:instrText>
      </w:r>
      <w:r>
        <w:rPr>
          <w:rStyle w:val="Style3"/>
          <w:sz w:val="22"/>
          <w:szCs w:val="22"/>
          <w:rFonts w:eastAsia="Merriweather"/>
        </w:rPr>
        <w:fldChar w:fldCharType="separate"/>
      </w:r>
      <w:r>
        <w:rPr>
          <w:rStyle w:val="Style3"/>
          <w:rFonts w:eastAsia="Merriweather"/>
          <w:sz w:val="22"/>
          <w:szCs w:val="22"/>
        </w:rPr>
        <w:t xml:space="preserve"> </w:t>
      </w:r>
      <w:r>
        <w:rPr>
          <w:rStyle w:val="Style3"/>
          <w:sz w:val="22"/>
          <w:szCs w:val="22"/>
          <w:rFonts w:eastAsia="Merriweather"/>
        </w:rPr>
        <w:fldChar w:fldCharType="end"/>
      </w:r>
      <w:r>
        <w:fldChar w:fldCharType="begin"/>
      </w:r>
      <w:r>
        <w:rPr>
          <w:rStyle w:val="Style3"/>
          <w:sz w:val="22"/>
          <w:szCs w:val="22"/>
          <w:rFonts w:eastAsia="Merriweather"/>
        </w:rPr>
        <w:instrText xml:space="preserve"> HYPERLINK "http://www.planalto.gov.br/ccivil_03/_ato2019-2022/2021/lei/L14133.htm" \l "art75"</w:instrText>
      </w:r>
      <w:r>
        <w:rPr>
          <w:rStyle w:val="Style3"/>
          <w:sz w:val="22"/>
          <w:szCs w:val="22"/>
          <w:rFonts w:eastAsia="Merriweather"/>
        </w:rPr>
        <w:fldChar w:fldCharType="separate"/>
      </w:r>
      <w:r>
        <w:rPr>
          <w:rStyle w:val="Style3"/>
          <w:rFonts w:eastAsia="Merriweather"/>
          <w:sz w:val="22"/>
          <w:szCs w:val="22"/>
        </w:rPr>
        <w:t>inciso II do art. 160 do Decreto Municipal nº 3735, de 09 de maio de 202</w:t>
      </w:r>
      <w:r>
        <w:rPr>
          <w:rStyle w:val="Style3"/>
          <w:sz w:val="22"/>
          <w:szCs w:val="22"/>
          <w:rFonts w:eastAsia="Merriweather"/>
        </w:rPr>
        <w:fldChar w:fldCharType="end"/>
      </w:r>
      <w:r>
        <w:rPr>
          <w:rFonts w:eastAsia="Merriweather"/>
          <w:sz w:val="22"/>
          <w:szCs w:val="22"/>
        </w:rPr>
        <w:t>3.</w:t>
      </w:r>
    </w:p>
    <w:p>
      <w:pPr>
        <w:pStyle w:val="Normal"/>
        <w:spacing w:lineRule="auto" w:line="360"/>
        <w:ind w:hanging="2" w:left="0"/>
        <w:jc w:val="both"/>
        <w:rPr>
          <w:sz w:val="22"/>
          <w:szCs w:val="22"/>
        </w:rPr>
      </w:pPr>
      <w:r>
        <w:rPr>
          <w:rFonts w:eastAsia="Merriweather"/>
          <w:sz w:val="22"/>
          <w:szCs w:val="22"/>
        </w:rPr>
        <w:t>Para fins de liquidação, o setor competente deverá verificar se a nota fiscal ou instrumento de cobrança equivalente apresentado expressa os elementos necessários e essenciais do documento, tais como:</w:t>
      </w:r>
    </w:p>
    <w:p>
      <w:pPr>
        <w:pStyle w:val="Normal"/>
        <w:spacing w:lineRule="auto" w:line="360"/>
        <w:ind w:firstLine="1" w:left="850"/>
        <w:jc w:val="both"/>
        <w:rPr>
          <w:sz w:val="22"/>
          <w:szCs w:val="22"/>
        </w:rPr>
      </w:pPr>
      <w:r>
        <w:rPr>
          <w:rFonts w:eastAsia="Arial"/>
          <w:sz w:val="22"/>
          <w:szCs w:val="22"/>
        </w:rPr>
        <w:t>a)</w:t>
      </w:r>
      <w:r>
        <w:rPr>
          <w:sz w:val="22"/>
          <w:szCs w:val="22"/>
        </w:rPr>
        <w:t xml:space="preserve"> </w:t>
      </w:r>
      <w:r>
        <w:rPr>
          <w:rFonts w:eastAsia="Arial"/>
          <w:sz w:val="22"/>
          <w:szCs w:val="22"/>
        </w:rPr>
        <w:t>o prazo de validade;</w:t>
      </w:r>
    </w:p>
    <w:p>
      <w:pPr>
        <w:pStyle w:val="Normal"/>
        <w:spacing w:lineRule="auto" w:line="360"/>
        <w:ind w:firstLine="1" w:left="850"/>
        <w:jc w:val="both"/>
        <w:rPr>
          <w:sz w:val="22"/>
          <w:szCs w:val="22"/>
        </w:rPr>
      </w:pPr>
      <w:r>
        <w:rPr>
          <w:rFonts w:eastAsia="Arial"/>
          <w:sz w:val="22"/>
          <w:szCs w:val="22"/>
        </w:rPr>
        <w:t>b)</w:t>
      </w:r>
      <w:r>
        <w:rPr>
          <w:sz w:val="22"/>
          <w:szCs w:val="22"/>
        </w:rPr>
        <w:t xml:space="preserve"> </w:t>
      </w:r>
      <w:r>
        <w:rPr>
          <w:rFonts w:eastAsia="Arial"/>
          <w:sz w:val="22"/>
          <w:szCs w:val="22"/>
        </w:rPr>
        <w:t>a data da emissão;</w:t>
      </w:r>
    </w:p>
    <w:p>
      <w:pPr>
        <w:pStyle w:val="Normal"/>
        <w:spacing w:lineRule="auto" w:line="360"/>
        <w:ind w:firstLine="1" w:left="850"/>
        <w:jc w:val="both"/>
        <w:rPr>
          <w:sz w:val="22"/>
          <w:szCs w:val="22"/>
        </w:rPr>
      </w:pPr>
      <w:r>
        <w:rPr>
          <w:rFonts w:eastAsia="Arial"/>
          <w:sz w:val="22"/>
          <w:szCs w:val="22"/>
        </w:rPr>
        <w:t>c)</w:t>
      </w:r>
      <w:r>
        <w:rPr>
          <w:sz w:val="22"/>
          <w:szCs w:val="22"/>
        </w:rPr>
        <w:t xml:space="preserve"> o</w:t>
      </w:r>
      <w:r>
        <w:rPr>
          <w:rFonts w:eastAsia="Arial"/>
          <w:sz w:val="22"/>
          <w:szCs w:val="22"/>
        </w:rPr>
        <w:t>s dados do contrato e do órgão contratante;</w:t>
      </w:r>
    </w:p>
    <w:p>
      <w:pPr>
        <w:pStyle w:val="Normal"/>
        <w:spacing w:lineRule="auto" w:line="360"/>
        <w:ind w:firstLine="1" w:left="850"/>
        <w:jc w:val="both"/>
        <w:rPr>
          <w:sz w:val="22"/>
          <w:szCs w:val="22"/>
        </w:rPr>
      </w:pPr>
      <w:r>
        <w:rPr>
          <w:rFonts w:eastAsia="Arial"/>
          <w:sz w:val="22"/>
          <w:szCs w:val="22"/>
        </w:rPr>
        <w:t>d)</w:t>
      </w:r>
      <w:r>
        <w:rPr>
          <w:sz w:val="22"/>
          <w:szCs w:val="22"/>
        </w:rPr>
        <w:t xml:space="preserve"> </w:t>
      </w:r>
      <w:r>
        <w:rPr>
          <w:rFonts w:eastAsia="Arial"/>
          <w:sz w:val="22"/>
          <w:szCs w:val="22"/>
        </w:rPr>
        <w:t>período respectivo de execução do contrato;</w:t>
      </w:r>
    </w:p>
    <w:p>
      <w:pPr>
        <w:pStyle w:val="Normal"/>
        <w:spacing w:lineRule="auto" w:line="360"/>
        <w:ind w:firstLine="1" w:left="850"/>
        <w:jc w:val="both"/>
        <w:rPr>
          <w:sz w:val="22"/>
          <w:szCs w:val="22"/>
        </w:rPr>
      </w:pPr>
      <w:r>
        <w:rPr>
          <w:rFonts w:eastAsia="Arial"/>
          <w:sz w:val="22"/>
          <w:szCs w:val="22"/>
        </w:rPr>
        <w:t>e)</w:t>
      </w:r>
      <w:r>
        <w:rPr>
          <w:sz w:val="22"/>
          <w:szCs w:val="22"/>
        </w:rPr>
        <w:t xml:space="preserve"> </w:t>
      </w:r>
      <w:r>
        <w:rPr>
          <w:rFonts w:eastAsia="Arial"/>
          <w:sz w:val="22"/>
          <w:szCs w:val="22"/>
        </w:rPr>
        <w:t>o valor a pagar; e</w:t>
      </w:r>
    </w:p>
    <w:p>
      <w:pPr>
        <w:pStyle w:val="Normal"/>
        <w:spacing w:lineRule="auto" w:line="360"/>
        <w:ind w:firstLine="1" w:left="850"/>
        <w:jc w:val="both"/>
        <w:rPr>
          <w:sz w:val="22"/>
          <w:szCs w:val="22"/>
        </w:rPr>
      </w:pPr>
      <w:r>
        <w:rPr>
          <w:rFonts w:eastAsia="Arial"/>
          <w:sz w:val="22"/>
          <w:szCs w:val="22"/>
        </w:rPr>
        <w:t>f)</w:t>
      </w:r>
      <w:r>
        <w:rPr>
          <w:sz w:val="22"/>
          <w:szCs w:val="22"/>
        </w:rPr>
        <w:t xml:space="preserve"> </w:t>
      </w:r>
      <w:r>
        <w:rPr>
          <w:rFonts w:eastAsia="Arial"/>
          <w:sz w:val="22"/>
          <w:szCs w:val="22"/>
        </w:rPr>
        <w:t>eventual destaque do valor de retenções tributárias cabíveis.</w:t>
      </w:r>
    </w:p>
    <w:p>
      <w:pPr>
        <w:pStyle w:val="Normal"/>
        <w:spacing w:lineRule="auto" w:line="360"/>
        <w:ind w:hanging="2" w:left="0"/>
        <w:jc w:val="both"/>
        <w:rPr>
          <w:sz w:val="22"/>
          <w:szCs w:val="22"/>
        </w:rPr>
      </w:pPr>
      <w:r>
        <w:rPr>
          <w:rFonts w:eastAsia="Merriweather"/>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spacing w:lineRule="auto" w:line="360"/>
        <w:ind w:hanging="2" w:left="0"/>
        <w:jc w:val="both"/>
        <w:rPr/>
      </w:pPr>
      <w:r>
        <w:rPr>
          <w:rFonts w:eastAsia="Merriweather"/>
          <w:sz w:val="22"/>
          <w:szCs w:val="22"/>
        </w:rPr>
        <w:t xml:space="preserve">A nota fiscal ou instrumento de cobrança equivalente deverá ser obrigatoriamente acompanhado da comprovação da regularidade fiscal, constatada por meio de consulta </w:t>
      </w:r>
      <w:r>
        <w:rPr>
          <w:rFonts w:eastAsia="Merriweather"/>
          <w:i/>
          <w:sz w:val="22"/>
          <w:szCs w:val="22"/>
        </w:rPr>
        <w:t>on-line</w:t>
      </w:r>
      <w:r>
        <w:rPr>
          <w:rFonts w:eastAsia="Merriweather"/>
          <w:sz w:val="22"/>
          <w:szCs w:val="22"/>
        </w:rPr>
        <w:t xml:space="preserve"> ao SICAF ou, na impossibilidade de acesso ao referido Sistema, mediante consulta aos sítios eletrônicos oficiais ou à documentação mencionada no</w:t>
      </w:r>
      <w:r>
        <w:fldChar w:fldCharType="begin"/>
      </w:r>
      <w:r>
        <w:rPr>
          <w:rStyle w:val="Style3"/>
          <w:sz w:val="22"/>
          <w:szCs w:val="22"/>
          <w:rFonts w:eastAsia="Merriweather"/>
        </w:rPr>
        <w:instrText xml:space="preserve"> HYPERLINK "http://www.planalto.gov.br/ccivil_03/_ato2019-2022/2021/lei/L14133.htm" \l "art68"</w:instrText>
      </w:r>
      <w:r>
        <w:rPr>
          <w:rStyle w:val="Style3"/>
          <w:sz w:val="22"/>
          <w:szCs w:val="22"/>
          <w:rFonts w:eastAsia="Merriweather"/>
        </w:rPr>
        <w:fldChar w:fldCharType="separate"/>
      </w:r>
      <w:r>
        <w:rPr>
          <w:rStyle w:val="Style3"/>
          <w:rFonts w:eastAsia="Merriweather"/>
          <w:sz w:val="22"/>
          <w:szCs w:val="22"/>
        </w:rPr>
        <w:t xml:space="preserve"> </w:t>
      </w:r>
      <w:r>
        <w:rPr>
          <w:rStyle w:val="Style3"/>
          <w:sz w:val="22"/>
          <w:szCs w:val="22"/>
          <w:rFonts w:eastAsia="Merriweather"/>
        </w:rPr>
        <w:fldChar w:fldCharType="end"/>
      </w:r>
      <w:r>
        <w:fldChar w:fldCharType="begin"/>
      </w:r>
      <w:r>
        <w:rPr>
          <w:rStyle w:val="Style3"/>
          <w:sz w:val="22"/>
          <w:u w:val="single"/>
          <w:szCs w:val="22"/>
          <w:rFonts w:eastAsia="Merriweather"/>
          <w:color w:val="1155CC"/>
        </w:rPr>
        <w:instrText xml:space="preserve"> HYPERLINK "http://www.planalto.gov.br/ccivil_03/_ato2019-2022/2021/lei/L14133.htm" \l "art68"</w:instrText>
      </w:r>
      <w:r>
        <w:rPr>
          <w:rStyle w:val="Style3"/>
          <w:sz w:val="22"/>
          <w:u w:val="single"/>
          <w:szCs w:val="22"/>
          <w:rFonts w:eastAsia="Merriweather"/>
          <w:color w:val="1155CC"/>
        </w:rPr>
        <w:fldChar w:fldCharType="separate"/>
      </w:r>
      <w:r>
        <w:rPr>
          <w:rStyle w:val="Style3"/>
          <w:rFonts w:eastAsia="Merriweather"/>
          <w:color w:val="1155CC"/>
          <w:sz w:val="22"/>
          <w:szCs w:val="22"/>
          <w:u w:val="single"/>
        </w:rPr>
        <w:t>art. 68 da Lei nº 14.133, de 2021.</w:t>
      </w:r>
      <w:r>
        <w:rPr>
          <w:rStyle w:val="Style3"/>
          <w:sz w:val="22"/>
          <w:u w:val="single"/>
          <w:szCs w:val="22"/>
          <w:rFonts w:eastAsia="Merriweather"/>
          <w:color w:val="1155CC"/>
        </w:rPr>
        <w:fldChar w:fldCharType="end"/>
      </w:r>
      <w:r>
        <w:rPr>
          <w:rFonts w:eastAsia="Merriweather"/>
          <w:color w:val="1155CC"/>
          <w:sz w:val="22"/>
          <w:szCs w:val="22"/>
          <w:u w:val="single"/>
        </w:rPr>
        <w:t xml:space="preserve"> </w:t>
      </w:r>
      <w:r>
        <w:rPr>
          <w:rFonts w:eastAsia="Merriweather"/>
          <w:color w:val="000000"/>
          <w:sz w:val="22"/>
          <w:szCs w:val="22"/>
        </w:rPr>
        <w:t>Também obrigatoriamente deverá constar o número do convênio, bem como do contrato, a fim de demonstrar a qual convênio se refere.</w:t>
      </w:r>
    </w:p>
    <w:p>
      <w:pPr>
        <w:pStyle w:val="Normal"/>
        <w:spacing w:lineRule="auto" w:line="360"/>
        <w:ind w:hanging="2" w:left="0"/>
        <w:jc w:val="both"/>
        <w:rPr>
          <w:sz w:val="22"/>
          <w:szCs w:val="22"/>
        </w:rPr>
      </w:pPr>
      <w:r>
        <w:rPr>
          <w:rFonts w:eastAsia="Merriweather"/>
          <w:sz w:val="22"/>
          <w:szCs w:val="22"/>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pPr>
        <w:pStyle w:val="Normal"/>
        <w:spacing w:lineRule="auto" w:line="360"/>
        <w:ind w:hanging="2" w:left="0"/>
        <w:jc w:val="both"/>
        <w:rPr>
          <w:sz w:val="22"/>
          <w:szCs w:val="22"/>
        </w:rPr>
      </w:pPr>
      <w:r>
        <w:rPr>
          <w:rFonts w:eastAsia="Merriweather"/>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ormal"/>
        <w:spacing w:lineRule="auto" w:line="360"/>
        <w:ind w:hanging="2" w:left="0"/>
        <w:jc w:val="both"/>
        <w:rPr>
          <w:sz w:val="22"/>
          <w:szCs w:val="22"/>
        </w:rPr>
      </w:pPr>
      <w:r>
        <w:rPr>
          <w:rFonts w:eastAsia="Merriweather"/>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spacing w:lineRule="auto" w:line="360"/>
        <w:ind w:hanging="2" w:left="0"/>
        <w:jc w:val="both"/>
        <w:rPr>
          <w:sz w:val="22"/>
          <w:szCs w:val="22"/>
        </w:rPr>
      </w:pPr>
      <w:r>
        <w:rPr>
          <w:rFonts w:eastAsia="Merriweather"/>
          <w:sz w:val="22"/>
          <w:szCs w:val="22"/>
        </w:rPr>
        <w:t>Persistindo a irregularidade, o contratante deverá adotar as medidas necessárias à rescisão contratual nos autos do processo administrativo correspondente, assegurada ao contratado a ampla defesa.</w:t>
      </w:r>
    </w:p>
    <w:p>
      <w:pPr>
        <w:pStyle w:val="Normal"/>
        <w:spacing w:lineRule="auto" w:line="360"/>
        <w:ind w:hanging="2" w:left="0"/>
        <w:jc w:val="both"/>
        <w:rPr>
          <w:sz w:val="22"/>
          <w:szCs w:val="22"/>
        </w:rPr>
      </w:pPr>
      <w:r>
        <w:rPr>
          <w:rFonts w:eastAsia="Merriweather"/>
          <w:sz w:val="22"/>
          <w:szCs w:val="22"/>
        </w:rPr>
        <w:t xml:space="preserve">Havendo a efetiva execução do objeto, os pagamentos serão realizados normalmente, até que se decida pela rescisão do contrato, caso o contratado não regularize sua situação junto ao SICAF. </w:t>
      </w:r>
    </w:p>
    <w:p>
      <w:pPr>
        <w:pStyle w:val="Normal"/>
        <w:spacing w:lineRule="auto" w:line="360"/>
        <w:ind w:hanging="2" w:left="0"/>
        <w:jc w:val="both"/>
        <w:rPr>
          <w:sz w:val="22"/>
          <w:szCs w:val="22"/>
        </w:rPr>
      </w:pPr>
      <w:r>
        <w:rPr>
          <w:rFonts w:eastAsia="Merriweather"/>
          <w:sz w:val="22"/>
          <w:szCs w:val="22"/>
        </w:rPr>
        <w:t>O pagamento será efetuado no prazo de até 30 (trinta) dias contados a partir do atesto da Nota Fiscal, conforme o art. 35, parágrafo único do Decreto nº 3.537, de 09 de maio de 2023.</w:t>
      </w:r>
    </w:p>
    <w:p>
      <w:pPr>
        <w:pStyle w:val="Normal"/>
        <w:spacing w:lineRule="auto" w:line="360"/>
        <w:ind w:hanging="2" w:left="0"/>
        <w:jc w:val="both"/>
        <w:rPr>
          <w:sz w:val="22"/>
          <w:szCs w:val="22"/>
        </w:rPr>
      </w:pPr>
      <w:r>
        <w:rPr>
          <w:rFonts w:eastAsia="Merriweather"/>
          <w:sz w:val="22"/>
          <w:szCs w:val="22"/>
        </w:rPr>
        <w:t>No caso de atraso pelo Contratante, os valores devidos ao contratado serão atualizados monetariamente entre o termo final do prazo de pagamento até a data de sua efetiva realização, mediante aplicação do índice</w:t>
      </w:r>
      <w:permStart w:id="1755780806" w:edGrp="everyone"/>
      <w:r>
        <w:rPr>
          <w:rFonts w:eastAsia="Merriweather"/>
          <w:sz w:val="22"/>
          <w:szCs w:val="22"/>
        </w:rPr>
        <w:t xml:space="preserve"> </w:t>
      </w:r>
      <w:r>
        <w:rPr>
          <w:rFonts w:eastAsia="Merriweather"/>
          <w:color w:themeColor="text1" w:val="000000"/>
          <w:sz w:val="22"/>
          <w:szCs w:val="22"/>
        </w:rPr>
        <w:t>INPC</w:t>
      </w:r>
      <w:r>
        <w:rPr>
          <w:rFonts w:eastAsia="Merriweather"/>
          <w:sz w:val="22"/>
          <w:szCs w:val="22"/>
        </w:rPr>
        <w:t xml:space="preserve"> de correção monetária. </w:t>
      </w:r>
      <w:permEnd w:id="1755780806"/>
    </w:p>
    <w:p>
      <w:pPr>
        <w:pStyle w:val="Normal"/>
        <w:spacing w:lineRule="auto" w:line="360"/>
        <w:ind w:hanging="2" w:left="0"/>
        <w:jc w:val="both"/>
        <w:rPr>
          <w:sz w:val="22"/>
          <w:szCs w:val="22"/>
        </w:rPr>
      </w:pPr>
      <w:r>
        <w:rPr>
          <w:rFonts w:eastAsia="Merriweather"/>
          <w:sz w:val="22"/>
          <w:szCs w:val="22"/>
        </w:rPr>
        <w:t>O pagamento será realizado por meio de ordem bancária, para crédito em banco, agência e conta correntes indicadas pelo contratado, por OBTV, através da plataforma transferegov.</w:t>
      </w:r>
    </w:p>
    <w:p>
      <w:pPr>
        <w:pStyle w:val="Normal"/>
        <w:spacing w:lineRule="auto" w:line="360"/>
        <w:ind w:hanging="2" w:left="0"/>
        <w:jc w:val="both"/>
        <w:rPr>
          <w:sz w:val="22"/>
          <w:szCs w:val="22"/>
        </w:rPr>
      </w:pPr>
      <w:r>
        <w:rPr>
          <w:rFonts w:eastAsia="Merriweather"/>
          <w:sz w:val="22"/>
          <w:szCs w:val="22"/>
        </w:rPr>
        <w:t>Será considerada data do pagamento o dia em que constar como emitida a ordem bancária para pagamento.</w:t>
      </w:r>
    </w:p>
    <w:p>
      <w:pPr>
        <w:pStyle w:val="Normal"/>
        <w:spacing w:lineRule="auto" w:line="360"/>
        <w:ind w:hanging="2" w:left="0"/>
        <w:jc w:val="both"/>
        <w:rPr>
          <w:sz w:val="22"/>
          <w:szCs w:val="22"/>
        </w:rPr>
      </w:pPr>
      <w:r>
        <w:rPr>
          <w:rFonts w:eastAsia="Merriweather"/>
          <w:sz w:val="22"/>
          <w:szCs w:val="22"/>
        </w:rPr>
        <w:t>Quando do pagamento, será efetuada a retenção tributária prevista na legislação aplicável.</w:t>
      </w:r>
    </w:p>
    <w:p>
      <w:pPr>
        <w:pStyle w:val="Normal"/>
        <w:spacing w:lineRule="auto" w:line="360"/>
        <w:ind w:hanging="2" w:left="0"/>
        <w:jc w:val="both"/>
        <w:rPr>
          <w:i w:val="false"/>
          <w:i w:val="false"/>
          <w:iCs w:val="false"/>
        </w:rPr>
      </w:pPr>
      <w:r>
        <w:rPr>
          <w:rFonts w:eastAsia="Merriweather"/>
          <w:i w:val="false"/>
          <w:iCs w:val="false"/>
          <w:sz w:val="22"/>
          <w:szCs w:val="22"/>
        </w:rPr>
        <w:t xml:space="preserve">Independentemente do percentual de tributo inserido na planilha, quando houver, serão retidos na fonte, quando da realização do pagamento, os percentuais estabelecidos na legislação vigente. </w:t>
      </w:r>
    </w:p>
    <w:p>
      <w:pPr>
        <w:pStyle w:val="Normal"/>
        <w:spacing w:lineRule="auto" w:line="360"/>
        <w:ind w:hanging="2" w:left="0"/>
        <w:jc w:val="both"/>
        <w:rPr/>
      </w:pPr>
      <w:r>
        <w:rPr>
          <w:rFonts w:eastAsia="Merriweather"/>
          <w:i w:val="false"/>
          <w:iCs w:val="false"/>
          <w:sz w:val="22"/>
          <w:szCs w:val="22"/>
        </w:rPr>
        <w:t>O contratado regularmente optante pelo Simples Nacional, nos termos da</w:t>
      </w:r>
      <w:hyperlink r:id="rId4">
        <w:r>
          <w:rPr>
            <w:rStyle w:val="Style3"/>
            <w:rFonts w:eastAsia="Merriweather"/>
            <w:i w:val="false"/>
            <w:iCs w:val="false"/>
            <w:sz w:val="22"/>
            <w:szCs w:val="22"/>
          </w:rPr>
          <w:t xml:space="preserve"> </w:t>
        </w:r>
      </w:hyperlink>
      <w:hyperlink r:id="rId5">
        <w:r>
          <w:rPr>
            <w:rStyle w:val="Style3"/>
            <w:rFonts w:eastAsia="Merriweather"/>
            <w:i w:val="false"/>
            <w:iCs w:val="false"/>
            <w:color w:val="1155CC"/>
            <w:sz w:val="22"/>
            <w:szCs w:val="22"/>
            <w:u w:val="single"/>
          </w:rPr>
          <w:t>Lei Complementar nº 123, de 2006</w:t>
        </w:r>
      </w:hyperlink>
      <w:r>
        <w:rPr>
          <w:rFonts w:eastAsia="Merriweather"/>
          <w:i w:val="false"/>
          <w:iCs w:val="false"/>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360"/>
        <w:ind w:hanging="2" w:left="0"/>
        <w:jc w:val="both"/>
        <w:rPr>
          <w:i w:val="false"/>
          <w:i w:val="false"/>
          <w:iCs w:val="false"/>
        </w:rPr>
      </w:pPr>
      <w:r>
        <w:rPr>
          <w:rFonts w:eastAsia="Merriweather"/>
          <w:i w:val="false"/>
          <w:iCs w:val="false"/>
          <w:sz w:val="22"/>
          <w:szCs w:val="22"/>
        </w:rPr>
        <w:t>A presente contratação não permite a antecipação de pagamento.</w:t>
      </w:r>
    </w:p>
    <w:p>
      <w:pPr>
        <w:pStyle w:val="Normal"/>
        <w:spacing w:lineRule="auto" w:line="360"/>
        <w:ind w:hanging="2" w:left="0"/>
        <w:jc w:val="both"/>
        <w:rPr>
          <w:rFonts w:eastAsia="Merriweather"/>
          <w:i w:val="false"/>
          <w:i w:val="false"/>
          <w:iCs w:val="false"/>
        </w:rPr>
      </w:pPr>
      <w:r>
        <w:rPr>
          <w:rFonts w:eastAsia="Merriweather"/>
          <w:i w:val="false"/>
          <w:iCs w:val="false"/>
        </w:rPr>
      </w:r>
    </w:p>
    <w:p>
      <w:pPr>
        <w:pStyle w:val="Normal"/>
        <w:widowControl w:val="false"/>
        <w:spacing w:lineRule="auto" w:line="360"/>
        <w:ind w:hanging="2" w:left="0"/>
        <w:jc w:val="both"/>
        <w:rPr>
          <w:i w:val="false"/>
          <w:i w:val="false"/>
          <w:iCs w:val="false"/>
        </w:rPr>
      </w:pPr>
      <w:r>
        <w:rPr>
          <w:b/>
          <w:bCs/>
          <w:i w:val="false"/>
          <w:iCs w:val="false"/>
          <w:sz w:val="22"/>
          <w:szCs w:val="22"/>
        </w:rPr>
        <w:t>15. DO REAJUSTE</w:t>
      </w:r>
      <w:r>
        <w:rPr>
          <w:i w:val="false"/>
          <w:iCs w:val="false"/>
          <w:sz w:val="22"/>
          <w:szCs w:val="22"/>
        </w:rPr>
        <w:t xml:space="preserve"> Deverá observar os requisitos constantes no artigo 25, parágrafos 7º e 8º, inciso III, Título II, Capítulo II, Seção I- Da Instrução do Processo Licitatório, da Lei n°14.133, de 1º de abril de 2021.</w:t>
      </w:r>
    </w:p>
    <w:p>
      <w:pPr>
        <w:pStyle w:val="Normal"/>
        <w:widowControl w:val="false"/>
        <w:spacing w:lineRule="auto" w:line="360"/>
        <w:ind w:hanging="2" w:left="0"/>
        <w:jc w:val="both"/>
        <w:rPr>
          <w:i w:val="false"/>
          <w:i w:val="false"/>
          <w:iCs w:val="false"/>
        </w:rPr>
      </w:pPr>
      <w:r>
        <w:rPr>
          <w:i w:val="false"/>
          <w:iCs w:val="false"/>
          <w:sz w:val="22"/>
          <w:szCs w:val="22"/>
        </w:rPr>
        <w:t>NÃO SE APLICA.</w:t>
      </w:r>
    </w:p>
    <w:p>
      <w:pPr>
        <w:pStyle w:val="Normal"/>
        <w:widowControl w:val="false"/>
        <w:spacing w:lineRule="auto" w:line="360"/>
        <w:ind w:hanging="2" w:left="0"/>
        <w:jc w:val="both"/>
        <w:rPr>
          <w:i w:val="false"/>
          <w:i w:val="false"/>
          <w:iCs w:val="false"/>
          <w:sz w:val="22"/>
          <w:szCs w:val="22"/>
        </w:rPr>
      </w:pPr>
      <w:r>
        <w:rPr>
          <w:i w:val="false"/>
          <w:iCs w:val="false"/>
          <w:sz w:val="22"/>
          <w:szCs w:val="22"/>
        </w:rPr>
      </w:r>
    </w:p>
    <w:p>
      <w:pPr>
        <w:pStyle w:val="Normal"/>
        <w:widowControl w:val="false"/>
        <w:spacing w:lineRule="auto" w:line="360"/>
        <w:ind w:hanging="2" w:left="0"/>
        <w:jc w:val="both"/>
        <w:rPr>
          <w:i w:val="false"/>
          <w:i w:val="false"/>
          <w:iCs w:val="false"/>
        </w:rPr>
      </w:pPr>
      <w:r>
        <w:rPr>
          <w:rFonts w:eastAsia="Merriweather"/>
          <w:b/>
          <w:bCs/>
          <w:i w:val="false"/>
          <w:iCs w:val="false"/>
          <w:sz w:val="22"/>
          <w:szCs w:val="22"/>
        </w:rPr>
        <w:t xml:space="preserve">16. DA GARANTIA DA EXECUÇÃO </w:t>
      </w:r>
    </w:p>
    <w:p>
      <w:pPr>
        <w:pStyle w:val="Normal"/>
        <w:spacing w:lineRule="auto" w:line="360"/>
        <w:ind w:hanging="2" w:left="0"/>
        <w:jc w:val="both"/>
        <w:rPr>
          <w:i w:val="false"/>
          <w:i w:val="false"/>
          <w:iCs w:val="false"/>
        </w:rPr>
      </w:pPr>
      <w:r>
        <w:rPr>
          <w:rFonts w:eastAsia="Merriweather"/>
          <w:i w:val="false"/>
          <w:iCs w:val="false"/>
          <w:sz w:val="22"/>
          <w:szCs w:val="22"/>
        </w:rPr>
        <w:t>N</w:t>
      </w:r>
      <w:permStart w:id="1870932693" w:edGrp="none"/>
      <w:r>
        <w:rPr>
          <w:rFonts w:eastAsia="Merriweather"/>
          <w:i w:val="false"/>
          <w:iCs w:val="false"/>
          <w:sz w:val="22"/>
          <w:szCs w:val="22"/>
        </w:rPr>
        <w:t>ão haverá exigência de garantia contratual da execução, motivo pelo qual não será permitido pagamento antecipado, parcial ou total, relativo a parcelas contratuais vinculadas à prestação de serviços objeto da presente contratação.</w:t>
      </w:r>
      <w:permEnd w:id="1870932693"/>
    </w:p>
    <w:p>
      <w:pPr>
        <w:pStyle w:val="Normal"/>
        <w:widowControl w:val="false"/>
        <w:spacing w:lineRule="auto" w:line="360"/>
        <w:ind w:hanging="2" w:left="0"/>
        <w:jc w:val="both"/>
        <w:rPr>
          <w:i w:val="false"/>
          <w:i w:val="false"/>
          <w:iCs w:val="false"/>
        </w:rPr>
      </w:pPr>
      <w:r>
        <w:rPr>
          <w:rFonts w:eastAsia="Merriweather"/>
          <w:b/>
          <w:bCs/>
          <w:i w:val="false"/>
          <w:iCs w:val="false"/>
          <w:sz w:val="22"/>
          <w:szCs w:val="22"/>
        </w:rPr>
        <w:t>17. CRONOGRAMA DE DESEMBOLSO</w:t>
      </w:r>
      <w:r>
        <w:rPr>
          <w:rFonts w:eastAsia="Merriweather"/>
          <w:i w:val="false"/>
          <w:iCs w:val="false"/>
          <w:sz w:val="22"/>
          <w:szCs w:val="22"/>
        </w:rPr>
        <w:t xml:space="preserve"> </w:t>
      </w:r>
    </w:p>
    <w:p>
      <w:pPr>
        <w:pStyle w:val="Normal"/>
        <w:spacing w:lineRule="auto" w:line="360"/>
        <w:ind w:hanging="0" w:left="-2"/>
        <w:jc w:val="both"/>
        <w:rPr>
          <w:i w:val="false"/>
          <w:i w:val="false"/>
          <w:iCs w:val="false"/>
        </w:rPr>
      </w:pPr>
      <w:r>
        <w:rPr>
          <w:i w:val="false"/>
          <w:iCs w:val="false"/>
          <w:sz w:val="22"/>
          <w:szCs w:val="22"/>
        </w:rPr>
        <w:t xml:space="preserve">Após o recebimento do recurso por parte do Ministério, o pagamento das obrigações aqui contratadas observará a ordem cronológica de exigibilidade, nos termos do art. 141 da Lei nº 14.133/2021, cujos prazos serão limitados a: </w:t>
      </w:r>
    </w:p>
    <w:p>
      <w:pPr>
        <w:pStyle w:val="Normal"/>
        <w:spacing w:lineRule="auto" w:line="360"/>
        <w:ind w:hanging="0" w:left="720"/>
        <w:jc w:val="both"/>
        <w:rPr>
          <w:i w:val="false"/>
          <w:i w:val="false"/>
          <w:iCs w:val="false"/>
        </w:rPr>
      </w:pPr>
      <w:r>
        <w:rPr>
          <w:i w:val="false"/>
          <w:iCs w:val="false"/>
          <w:sz w:val="22"/>
          <w:szCs w:val="22"/>
        </w:rPr>
        <w:t xml:space="preserve">a) 30 (trinta dias) úteis para a liquidação da despesa, a contar do recebimento da Nota Fiscal ou instrumento de cobrança equivalente pela Administração; e </w:t>
      </w:r>
    </w:p>
    <w:p>
      <w:pPr>
        <w:pStyle w:val="Normal"/>
        <w:spacing w:lineRule="auto" w:line="360"/>
        <w:ind w:hanging="0" w:left="720"/>
        <w:jc w:val="both"/>
        <w:rPr>
          <w:i w:val="false"/>
          <w:i w:val="false"/>
          <w:iCs w:val="false"/>
        </w:rPr>
      </w:pPr>
      <w:r>
        <w:rPr>
          <w:rFonts w:eastAsia="Merriweather"/>
          <w:i w:val="false"/>
          <w:iCs w:val="false"/>
          <w:sz w:val="22"/>
          <w:szCs w:val="22"/>
        </w:rPr>
        <w:t>b) 30 (trinta dias) úteis para pagamento, a contar da liquidação da despesa.</w:t>
      </w:r>
    </w:p>
    <w:p>
      <w:pPr>
        <w:pStyle w:val="Normal"/>
        <w:widowControl w:val="false"/>
        <w:spacing w:lineRule="auto" w:line="360"/>
        <w:ind w:hanging="2" w:left="0"/>
        <w:jc w:val="both"/>
        <w:rPr>
          <w:i w:val="false"/>
          <w:i w:val="false"/>
          <w:iCs w:val="false"/>
        </w:rPr>
      </w:pPr>
      <w:r>
        <w:rPr>
          <w:rFonts w:eastAsia="Merriweather"/>
          <w:b/>
          <w:bCs/>
          <w:i w:val="false"/>
          <w:iCs w:val="false"/>
          <w:sz w:val="22"/>
          <w:szCs w:val="22"/>
        </w:rPr>
        <w:t>18. METODOLOGIA PARA AQUISIÇÃO</w:t>
      </w:r>
      <w:r>
        <w:rPr>
          <w:rFonts w:eastAsia="Merriweather"/>
          <w:i w:val="false"/>
          <w:iCs w:val="false"/>
          <w:sz w:val="22"/>
          <w:szCs w:val="22"/>
        </w:rPr>
        <w:t>:</w:t>
      </w:r>
    </w:p>
    <w:p>
      <w:pPr>
        <w:pStyle w:val="Normal"/>
        <w:widowControl w:val="false"/>
        <w:spacing w:lineRule="auto" w:line="360"/>
        <w:ind w:hanging="2" w:left="0"/>
        <w:jc w:val="both"/>
        <w:rPr>
          <w:i w:val="false"/>
          <w:i w:val="false"/>
          <w:iCs w:val="false"/>
        </w:rPr>
      </w:pPr>
      <w:r>
        <w:rPr>
          <w:rFonts w:eastAsia="Merriweather"/>
          <w:i w:val="false"/>
          <w:iCs w:val="false"/>
          <w:sz w:val="22"/>
          <w:szCs w:val="22"/>
        </w:rPr>
        <w:t xml:space="preserve">A aquisição do objeto do convênio se dará mediante processo licitatório em consonância com o parágrafo 2º, art. 17 da Lei n° 14.133, de 1° de abril de 2021 e legislação complementar, mediante a realização de procedimento, na modalidade PREGÃO, sob a forma ELETRÔNICA, com adoção do critério de julgamento pelo </w:t>
      </w:r>
      <w:r>
        <w:rPr>
          <w:rFonts w:eastAsia="Merriweather"/>
          <w:i w:val="false"/>
          <w:iCs w:val="false"/>
          <w:color w:themeColor="text1" w:val="000000"/>
          <w:sz w:val="22"/>
          <w:szCs w:val="22"/>
        </w:rPr>
        <w:t>MENOR PREÇO.</w:t>
      </w:r>
      <w:permStart w:id="506228503" w:edGrp="everyone"/>
      <w:r>
        <w:rPr>
          <w:rFonts w:eastAsia="Merriweather"/>
          <w:i w:val="false"/>
          <w:iCs w:val="false"/>
          <w:sz w:val="22"/>
          <w:szCs w:val="22"/>
        </w:rPr>
        <w:t xml:space="preserve"> </w:t>
      </w:r>
      <w:permEnd w:id="506228503"/>
    </w:p>
    <w:p>
      <w:pPr>
        <w:pStyle w:val="Normal"/>
        <w:spacing w:lineRule="auto" w:line="360"/>
        <w:ind w:hanging="2" w:left="0"/>
        <w:jc w:val="both"/>
        <w:rPr>
          <w:i w:val="false"/>
          <w:i w:val="false"/>
          <w:iCs w:val="false"/>
        </w:rPr>
      </w:pPr>
      <w:r>
        <w:rPr>
          <w:rFonts w:eastAsia="Merriweather"/>
          <w:i w:val="false"/>
          <w:iCs w:val="false"/>
          <w:sz w:val="22"/>
          <w:szCs w:val="22"/>
        </w:rPr>
        <w:t>A natureza do objeto dadas suas características, enquadra-se em bens comuns nos termos da Lei nº 14.133/2021, cujos padrões de desempenho e qualidade podem ser objetivamente definidos pelo edital, por meio de especificações usuais de mercado.</w:t>
      </w:r>
    </w:p>
    <w:p>
      <w:pPr>
        <w:pStyle w:val="Normal"/>
        <w:spacing w:lineRule="auto" w:line="360"/>
        <w:ind w:hanging="2" w:left="0"/>
        <w:jc w:val="both"/>
        <w:rPr>
          <w:i w:val="false"/>
          <w:i w:val="false"/>
          <w:iCs w:val="false"/>
        </w:rPr>
      </w:pPr>
      <w:r>
        <w:rPr>
          <w:rFonts w:eastAsia="Merriweather"/>
          <w:i w:val="false"/>
          <w:iCs w:val="false"/>
          <w:sz w:val="22"/>
          <w:szCs w:val="22"/>
        </w:rPr>
        <w:t>A contratação para a execução dos serviços deverá obedecer, no que couber:</w:t>
      </w:r>
    </w:p>
    <w:p>
      <w:pPr>
        <w:pStyle w:val="Normal"/>
        <w:spacing w:lineRule="auto" w:line="360"/>
        <w:ind w:firstLine="720" w:left="0"/>
        <w:jc w:val="both"/>
        <w:rPr>
          <w:i w:val="false"/>
          <w:i w:val="false"/>
          <w:iCs w:val="false"/>
        </w:rPr>
      </w:pPr>
      <w:r>
        <w:rPr>
          <w:rFonts w:eastAsia="Merriweather"/>
          <w:i w:val="false"/>
          <w:iCs w:val="false"/>
          <w:sz w:val="22"/>
          <w:szCs w:val="22"/>
        </w:rPr>
        <w:t>Lei 14.133/21, de 01 de abril de 2021 e suas alterações.</w:t>
      </w:r>
    </w:p>
    <w:p>
      <w:pPr>
        <w:pStyle w:val="Normal"/>
        <w:spacing w:lineRule="auto" w:line="360"/>
        <w:ind w:firstLine="720" w:left="0"/>
        <w:jc w:val="both"/>
        <w:rPr>
          <w:i w:val="false"/>
          <w:i w:val="false"/>
          <w:iCs w:val="false"/>
        </w:rPr>
      </w:pPr>
      <w:r>
        <w:rPr>
          <w:rFonts w:eastAsia="Merriweather"/>
          <w:i w:val="false"/>
          <w:iCs w:val="false"/>
          <w:sz w:val="22"/>
          <w:szCs w:val="22"/>
        </w:rPr>
        <w:t>Decreto Municipal nº 3.537/2023.</w:t>
      </w:r>
    </w:p>
    <w:p>
      <w:pPr>
        <w:pStyle w:val="Normal"/>
        <w:spacing w:lineRule="auto" w:line="360"/>
        <w:ind w:firstLine="720" w:left="0"/>
        <w:jc w:val="both"/>
        <w:rPr>
          <w:i w:val="false"/>
          <w:i w:val="false"/>
          <w:iCs w:val="false"/>
        </w:rPr>
      </w:pPr>
      <w:r>
        <w:rPr>
          <w:rFonts w:eastAsia="Merriweather"/>
          <w:i w:val="false"/>
          <w:iCs w:val="false"/>
          <w:sz w:val="22"/>
          <w:szCs w:val="22"/>
        </w:rPr>
        <w:t>Lei nº 8.078, de 1990 - Código de Defesa do Consumidor.</w:t>
      </w:r>
    </w:p>
    <w:p>
      <w:pPr>
        <w:pStyle w:val="Normal"/>
        <w:spacing w:lineRule="auto" w:line="360"/>
        <w:ind w:firstLine="720" w:left="0"/>
        <w:jc w:val="both"/>
        <w:rPr>
          <w:rFonts w:eastAsia="Merriweather"/>
          <w:i w:val="false"/>
          <w:i w:val="false"/>
          <w:iCs w:val="false"/>
          <w:sz w:val="22"/>
          <w:szCs w:val="22"/>
        </w:rPr>
      </w:pPr>
      <w:r>
        <w:rPr>
          <w:rFonts w:eastAsia="Merriweather"/>
          <w:i w:val="false"/>
          <w:iCs w:val="false"/>
          <w:sz w:val="22"/>
          <w:szCs w:val="22"/>
        </w:rPr>
        <w:t>Lei Complementar nº 123/2006, com alterações da Lei Complementar nº 147/2014.</w:t>
      </w:r>
    </w:p>
    <w:p>
      <w:pPr>
        <w:pStyle w:val="Normal"/>
        <w:spacing w:lineRule="auto" w:line="360"/>
        <w:ind w:firstLine="720" w:left="0"/>
        <w:jc w:val="both"/>
        <w:rPr>
          <w:rFonts w:eastAsia="Merriweather"/>
          <w:i w:val="false"/>
          <w:i w:val="false"/>
          <w:iCs w:val="false"/>
          <w:sz w:val="22"/>
          <w:szCs w:val="22"/>
        </w:rPr>
      </w:pPr>
      <w:r>
        <w:rPr>
          <w:rFonts w:eastAsia="Merriweather"/>
          <w:i w:val="false"/>
          <w:iCs w:val="false"/>
          <w:sz w:val="22"/>
          <w:szCs w:val="22"/>
        </w:rPr>
      </w:r>
    </w:p>
    <w:p>
      <w:pPr>
        <w:pStyle w:val="Normal"/>
        <w:spacing w:lineRule="auto" w:line="360"/>
        <w:ind w:hanging="0" w:left="0"/>
        <w:jc w:val="both"/>
        <w:rPr>
          <w:rFonts w:ascii="Times New Roman" w:hAnsi="Times New Roman"/>
          <w:i w:val="false"/>
          <w:i w:val="false"/>
          <w:iCs w:val="false"/>
        </w:rPr>
      </w:pPr>
      <w:r>
        <w:rPr>
          <w:rFonts w:ascii="Times New Roman" w:hAnsi="Times New Roman"/>
          <w:b/>
          <w:bCs/>
          <w:i w:val="false"/>
          <w:iCs w:val="false"/>
          <w:sz w:val="22"/>
          <w:szCs w:val="22"/>
        </w:rPr>
        <w:t xml:space="preserve">19. </w:t>
      </w:r>
      <w:r>
        <w:rPr>
          <w:rFonts w:ascii="Times New Roman" w:hAnsi="Times New Roman"/>
          <w:b/>
          <w:bCs/>
          <w:i w:val="false"/>
          <w:iCs w:val="false"/>
          <w:sz w:val="22"/>
          <w:szCs w:val="22"/>
        </w:rPr>
        <w:t xml:space="preserve"> DOCUMENTOS DE QUALIFICAÇÃO TÉCNICA:</w:t>
      </w:r>
    </w:p>
    <w:p>
      <w:pPr>
        <w:pStyle w:val="Normal"/>
        <w:spacing w:lineRule="auto" w:line="360"/>
        <w:ind w:hanging="0" w:left="0"/>
        <w:jc w:val="both"/>
        <w:rPr>
          <w:rFonts w:ascii="Times New Roman" w:hAnsi="Times New Roman"/>
          <w:b/>
          <w:bCs/>
          <w:i w:val="false"/>
          <w:i w:val="false"/>
          <w:iCs w:val="false"/>
          <w:sz w:val="22"/>
          <w:szCs w:val="22"/>
        </w:rPr>
      </w:pPr>
      <w:r>
        <w:rPr>
          <w:rFonts w:ascii="Times New Roman" w:hAnsi="Times New Roman"/>
          <w:b/>
          <w:bCs/>
          <w:i w:val="false"/>
          <w:iCs w:val="false"/>
          <w:sz w:val="22"/>
          <w:szCs w:val="22"/>
        </w:rPr>
      </w:r>
    </w:p>
    <w:p>
      <w:pPr>
        <w:pStyle w:val="Normal"/>
        <w:spacing w:lineRule="auto" w:line="360"/>
        <w:ind w:hanging="0" w:left="0"/>
        <w:jc w:val="both"/>
        <w:rPr>
          <w:rFonts w:ascii="Times New Roman" w:hAnsi="Times New Roman"/>
          <w:b w:val="false"/>
          <w:bCs w:val="false"/>
          <w:i w:val="false"/>
          <w:i w:val="false"/>
          <w:iCs w:val="false"/>
          <w:sz w:val="22"/>
          <w:szCs w:val="22"/>
        </w:rPr>
      </w:pPr>
      <w:r>
        <w:rPr>
          <w:rFonts w:ascii="Times New Roman" w:hAnsi="Times New Roman"/>
          <w:b w:val="false"/>
          <w:bCs w:val="false"/>
          <w:i w:val="false"/>
          <w:iCs w:val="false"/>
          <w:sz w:val="22"/>
          <w:szCs w:val="22"/>
        </w:rPr>
        <w:t>19.1</w:t>
      </w:r>
      <w:r>
        <w:rPr>
          <w:rFonts w:ascii="Times New Roman" w:hAnsi="Times New Roman"/>
          <w:b w:val="false"/>
          <w:bCs w:val="false"/>
          <w:i w:val="false"/>
          <w:iCs w:val="false"/>
          <w:sz w:val="22"/>
          <w:szCs w:val="22"/>
        </w:rPr>
        <w:t xml:space="preserve"> O licitante deverá apresentar, no mínimo, 01 (um) Atestado de Capacidade Técnica de fornecimento para Pessoa Jurídica de Direito Público ou Privado, que demonstre que o licitante forneceu ou está fornecendo objetos da mesma natureza ou similares ao da presente licitação de modo satisfatório, no âmbito de sua atividade econômica principal e/ou secundária, especificada no contrato social registrado na junta comercial competente.</w:t>
      </w:r>
    </w:p>
    <w:p>
      <w:pPr>
        <w:pStyle w:val="Normal"/>
        <w:spacing w:lineRule="auto" w:line="360"/>
        <w:ind w:hanging="0" w:left="0"/>
        <w:jc w:val="both"/>
        <w:rPr>
          <w:rFonts w:ascii="Times New Roman" w:hAnsi="Times New Roman"/>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spacing w:lineRule="auto" w:line="360"/>
        <w:ind w:hanging="0" w:left="0"/>
        <w:jc w:val="both"/>
        <w:rPr>
          <w:rFonts w:ascii="Times New Roman" w:hAnsi="Times New Roman"/>
          <w:b w:val="false"/>
          <w:bCs w:val="false"/>
          <w:i w:val="false"/>
          <w:i w:val="false"/>
          <w:iCs w:val="false"/>
          <w:sz w:val="22"/>
          <w:szCs w:val="22"/>
        </w:rPr>
      </w:pPr>
      <w:r>
        <w:rPr>
          <w:rFonts w:ascii="Times New Roman" w:hAnsi="Times New Roman"/>
          <w:b w:val="false"/>
          <w:bCs w:val="false"/>
          <w:i w:val="false"/>
          <w:iCs w:val="false"/>
          <w:sz w:val="22"/>
          <w:szCs w:val="22"/>
        </w:rPr>
        <w:t>1</w:t>
      </w:r>
      <w:r>
        <w:rPr>
          <w:rFonts w:ascii="Times New Roman" w:hAnsi="Times New Roman"/>
          <w:b w:val="false"/>
          <w:bCs w:val="false"/>
          <w:i w:val="false"/>
          <w:iCs w:val="false"/>
          <w:sz w:val="22"/>
          <w:szCs w:val="22"/>
        </w:rPr>
        <w:t>9</w:t>
      </w:r>
      <w:r>
        <w:rPr>
          <w:rFonts w:ascii="Times New Roman" w:hAnsi="Times New Roman"/>
          <w:b w:val="false"/>
          <w:bCs w:val="false"/>
          <w:i w:val="false"/>
          <w:iCs w:val="false"/>
          <w:sz w:val="22"/>
          <w:szCs w:val="22"/>
        </w:rPr>
        <w:t>.2. Os atestados de capacidade técnica poderão ser apresentados em nome da matriz ou da filial do fornecedor.</w:t>
      </w:r>
    </w:p>
    <w:p>
      <w:pPr>
        <w:pStyle w:val="Normal"/>
        <w:spacing w:lineRule="auto" w:line="360"/>
        <w:ind w:hanging="0" w:left="0"/>
        <w:jc w:val="both"/>
        <w:rPr>
          <w:rFonts w:ascii="Times New Roman" w:hAnsi="Times New Roman"/>
          <w:b w:val="false"/>
          <w:bCs w:val="false"/>
          <w:i w:val="false"/>
          <w:i w:val="false"/>
          <w:iCs w:val="false"/>
          <w:sz w:val="22"/>
          <w:szCs w:val="22"/>
        </w:rPr>
      </w:pPr>
      <w:r>
        <w:rPr>
          <w:rFonts w:ascii="Times New Roman" w:hAnsi="Times New Roman"/>
          <w:b w:val="false"/>
          <w:bCs w:val="false"/>
          <w:i w:val="false"/>
          <w:iCs w:val="false"/>
          <w:sz w:val="22"/>
          <w:szCs w:val="22"/>
        </w:rPr>
        <w:t>1</w:t>
      </w:r>
      <w:r>
        <w:rPr>
          <w:rFonts w:ascii="Times New Roman" w:hAnsi="Times New Roman"/>
          <w:b w:val="false"/>
          <w:bCs w:val="false"/>
          <w:i w:val="false"/>
          <w:iCs w:val="false"/>
          <w:sz w:val="22"/>
          <w:szCs w:val="22"/>
        </w:rPr>
        <w:t>9</w:t>
      </w:r>
      <w:r>
        <w:rPr>
          <w:rFonts w:ascii="Times New Roman" w:hAnsi="Times New Roman"/>
          <w:b w:val="false"/>
          <w:bCs w:val="false"/>
          <w:i w:val="false"/>
          <w:iCs w:val="false"/>
          <w:sz w:val="22"/>
          <w:szCs w:val="22"/>
        </w:rPr>
        <w:t>.3.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br/>
        <w:br/>
      </w:r>
      <w:r>
        <w:rPr>
          <w:rFonts w:ascii="Times New Roman" w:hAnsi="Times New Roman"/>
          <w:b w:val="false"/>
          <w:bCs w:val="false"/>
          <w:i w:val="false"/>
          <w:iCs w:val="false"/>
          <w:sz w:val="22"/>
          <w:szCs w:val="22"/>
        </w:rPr>
        <w:t>19.</w:t>
      </w:r>
      <w:r>
        <w:rPr>
          <w:rFonts w:ascii="Times New Roman" w:hAnsi="Times New Roman"/>
          <w:b w:val="false"/>
          <w:bCs w:val="false"/>
          <w:i w:val="false"/>
          <w:iCs w:val="false"/>
          <w:sz w:val="22"/>
          <w:szCs w:val="22"/>
        </w:rPr>
        <w:t xml:space="preserve">4. Quando o atestado de capacidade de técnica for emitido por pessoa jurídica de direito privado, deverá ser apresentado, com firma reconhecida em cartório (acórdão 1847/2019 – TCE- PR). </w:t>
        <w:br/>
        <w:br/>
        <w:t>OBS.: Valerá, para fins de garantia de veracidade do atestado, documento firmado mediante assinatura digital, cabendo a administração a possibilidade de realização de diligência, a posteriori, para averiguação de sua autenticidade.</w:t>
      </w:r>
    </w:p>
    <w:p>
      <w:pPr>
        <w:pStyle w:val="Normal"/>
        <w:spacing w:lineRule="auto" w:line="360"/>
        <w:ind w:hanging="0" w:left="0"/>
        <w:jc w:val="both"/>
        <w:rPr>
          <w:rFonts w:ascii="Times New Roman" w:hAnsi="Times New Roman"/>
          <w:b w:val="false"/>
          <w:bCs w:val="false"/>
          <w:i/>
          <w:i/>
          <w:iCs/>
          <w:sz w:val="22"/>
          <w:szCs w:val="22"/>
        </w:rPr>
      </w:pPr>
      <w:r>
        <w:rPr>
          <w:rFonts w:ascii="Times New Roman" w:hAnsi="Times New Roman"/>
          <w:b w:val="false"/>
          <w:bCs w:val="false"/>
          <w:i/>
          <w:iCs/>
          <w:sz w:val="22"/>
          <w:szCs w:val="22"/>
        </w:rPr>
      </w:r>
    </w:p>
    <w:p>
      <w:pPr>
        <w:pStyle w:val="Normal"/>
        <w:spacing w:lineRule="auto" w:line="360"/>
        <w:ind w:hanging="0" w:left="0"/>
        <w:jc w:val="both"/>
        <w:rPr>
          <w:rFonts w:ascii="Times New Roman" w:hAnsi="Times New Roman"/>
        </w:rPr>
      </w:pPr>
      <w:r>
        <w:rPr>
          <w:rFonts w:ascii="Times New Roman" w:hAnsi="Times New Roman"/>
          <w:b/>
          <w:bCs/>
          <w:sz w:val="22"/>
          <w:szCs w:val="22"/>
        </w:rPr>
        <w:t>20. ESTIMATIVAS DO VALOR DA CONTRATAÇÃO</w:t>
      </w:r>
    </w:p>
    <w:p>
      <w:pPr>
        <w:pStyle w:val="Normal"/>
        <w:spacing w:lineRule="auto" w:line="360"/>
        <w:ind w:hanging="0" w:left="0"/>
        <w:jc w:val="both"/>
        <w:rPr>
          <w:rFonts w:ascii="Times New Roman" w:hAnsi="Times New Roman"/>
        </w:rPr>
      </w:pPr>
      <w:r>
        <w:rPr>
          <w:rFonts w:ascii="Times New Roman" w:hAnsi="Times New Roman"/>
          <w:sz w:val="22"/>
          <w:szCs w:val="22"/>
        </w:rPr>
        <w:t>O custo estimado total da contratação é de R$ 451.335,00 (quatrocentos e cinquenta e um mil, trezentos e trinta e cinco reais), conforme custos unitários.</w:t>
      </w:r>
    </w:p>
    <w:p>
      <w:pPr>
        <w:pStyle w:val="Normal"/>
        <w:spacing w:lineRule="auto" w:line="360"/>
        <w:ind w:firstLine="720" w:left="0"/>
        <w:jc w:val="both"/>
        <w:rPr>
          <w:rFonts w:ascii="Times New Roman" w:hAnsi="Times New Roman"/>
        </w:rPr>
      </w:pPr>
      <w:r>
        <w:rPr>
          <w:rFonts w:eastAsia="Merriweather" w:ascii="Times New Roman" w:hAnsi="Times New Roman"/>
          <w:sz w:val="22"/>
          <w:szCs w:val="22"/>
        </w:rPr>
        <w:t>Bandeirantes, 26 de junho de 2025.</w:t>
      </w:r>
    </w:p>
    <w:p>
      <w:pPr>
        <w:pStyle w:val="Normal"/>
        <w:spacing w:lineRule="auto" w:line="360"/>
        <w:ind w:firstLine="720" w:left="0"/>
        <w:jc w:val="both"/>
        <w:rPr>
          <w:rFonts w:ascii="Times New Roman" w:hAnsi="Times New Roman"/>
          <w:sz w:val="22"/>
          <w:szCs w:val="22"/>
        </w:rPr>
      </w:pPr>
      <w:r>
        <w:rPr>
          <w:rFonts w:ascii="Times New Roman" w:hAnsi="Times New Roman"/>
          <w:sz w:val="22"/>
          <w:szCs w:val="22"/>
        </w:rPr>
      </w:r>
    </w:p>
    <w:p>
      <w:pPr>
        <w:pStyle w:val="Normal"/>
        <w:spacing w:lineRule="auto" w:line="360"/>
        <w:ind w:firstLine="720" w:left="0"/>
        <w:jc w:val="both"/>
        <w:rPr>
          <w:rFonts w:ascii="Times New Roman" w:hAnsi="Times New Roman"/>
          <w:sz w:val="22"/>
          <w:szCs w:val="22"/>
        </w:rPr>
      </w:pPr>
      <w:r>
        <w:rPr>
          <w:rFonts w:ascii="Times New Roman" w:hAnsi="Times New Roman"/>
          <w:sz w:val="22"/>
          <w:szCs w:val="22"/>
        </w:rPr>
      </w:r>
    </w:p>
    <w:p>
      <w:pPr>
        <w:pStyle w:val="Normal"/>
        <w:spacing w:lineRule="auto" w:line="360"/>
        <w:ind w:firstLine="720" w:left="0"/>
        <w:jc w:val="center"/>
        <w:rPr>
          <w:rFonts w:ascii="Times New Roman" w:hAnsi="Times New Roman"/>
        </w:rPr>
      </w:pPr>
      <w:r>
        <w:rPr>
          <w:rFonts w:eastAsia="Merriweather" w:ascii="Times New Roman" w:hAnsi="Times New Roman"/>
          <w:sz w:val="22"/>
          <w:szCs w:val="22"/>
        </w:rPr>
        <w:t>CAMILA DIAS RAMALHO MATTA</w:t>
      </w:r>
    </w:p>
    <w:p>
      <w:pPr>
        <w:pStyle w:val="Normal"/>
        <w:spacing w:lineRule="auto" w:line="360"/>
        <w:ind w:firstLine="720" w:left="0"/>
        <w:jc w:val="center"/>
        <w:rPr>
          <w:rFonts w:ascii="Times New Roman" w:hAnsi="Times New Roman"/>
        </w:rPr>
      </w:pPr>
      <w:r>
        <w:rPr>
          <w:rFonts w:eastAsia="Merriweather" w:ascii="Times New Roman" w:hAnsi="Times New Roman"/>
          <w:sz w:val="22"/>
          <w:szCs w:val="22"/>
        </w:rPr>
        <w:t>Secretária da Agricultura e Pecuária do Município</w:t>
      </w:r>
    </w:p>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323" w:right="942" w:gutter="0" w:header="720" w:top="2410" w:footer="720" w:bottom="993"/>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swiss"/>
    <w:pitch w:val="variable"/>
  </w:font>
  <w:font w:name="Segoe UI">
    <w:charset w:val="00"/>
    <w:family w:val="swiss"/>
    <w:pitch w:val="variable"/>
  </w:font>
  <w:font w:name="Liberation Sans">
    <w:altName w:val="Arial"/>
    <w:charset w:val="00"/>
    <w:family w:val="swiss"/>
    <w:pitch w:val="variable"/>
  </w:font>
  <w:font w:name="Nyala">
    <w:charset w:val="00"/>
    <w:family w:val="roman"/>
    <w:pitch w:val="variable"/>
  </w:font>
  <w:font w:name="Georgia">
    <w:charset w:val="00"/>
    <w:family w:val="roman"/>
    <w:pitch w:val="variable"/>
  </w:font>
  <w:font w:name="Calibri">
    <w:charset w:val="00"/>
    <w:family w:val="swiss"/>
    <w:pitch w:val="variable"/>
  </w:font>
  <w:font w:name="Times New Roman">
    <w:charset w:val="01"/>
    <w:family w:val="roman"/>
    <w:pitch w:val="variable"/>
  </w:font>
  <w:font w:name="Algerian">
    <w:altName w:val="com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 CNPJ 76.235.753/0001-48</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 CNPJ 76.235.753/0001-48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16">
          <wp:simplePos x="0" y="0"/>
          <wp:positionH relativeFrom="column">
            <wp:posOffset>-135255</wp:posOffset>
          </wp:positionH>
          <wp:positionV relativeFrom="paragraph">
            <wp:posOffset>635</wp:posOffset>
          </wp:positionV>
          <wp:extent cx="908050" cy="1057275"/>
          <wp:effectExtent l="0" t="0" r="0" b="0"/>
          <wp:wrapNone/>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908050" cy="1057275"/>
                  </a:xfrm>
                  <a:prstGeom prst="rect">
                    <a:avLst/>
                  </a:prstGeom>
                  <a:noFill/>
                </pic:spPr>
              </pic:pic>
            </a:graphicData>
          </a:graphic>
        </wp:anchor>
      </w:drawing>
      <mc:AlternateContent>
        <mc:Choice Requires="wps">
          <w:drawing>
            <wp:anchor behindDoc="1" distT="0" distB="0" distL="0" distR="0" simplePos="0" locked="0" layoutInCell="1" allowOverlap="1" relativeHeight="45">
              <wp:simplePos x="0" y="0"/>
              <wp:positionH relativeFrom="column">
                <wp:posOffset>1031875</wp:posOffset>
              </wp:positionH>
              <wp:positionV relativeFrom="paragraph">
                <wp:posOffset>-161925</wp:posOffset>
              </wp:positionV>
              <wp:extent cx="5528945" cy="1086485"/>
              <wp:effectExtent l="0" t="0" r="0" b="0"/>
              <wp:wrapNone/>
              <wp:docPr id="3" name="Quadro2"/>
              <a:graphic xmlns:a="http://schemas.openxmlformats.org/drawingml/2006/main">
                <a:graphicData uri="http://schemas.microsoft.com/office/word/2010/wordprocessingShape">
                  <wps:wsp>
                    <wps:cNvSpPr/>
                    <wps:spPr>
                      <a:xfrm>
                        <a:off x="0" y="0"/>
                        <a:ext cx="5528880" cy="1086480"/>
                      </a:xfrm>
                      <a:prstGeom prst="rect">
                        <a:avLst/>
                      </a:prstGeom>
                      <a:noFill/>
                      <a:ln w="0">
                        <a:noFill/>
                      </a:ln>
                    </wps:spPr>
                    <wps:style>
                      <a:lnRef idx="0"/>
                      <a:fillRef idx="0"/>
                      <a:effectRef idx="0"/>
                      <a:fontRef idx="minor"/>
                    </wps:style>
                    <wps:txbx>
                      <w:txbxContent>
                        <w:p>
                          <w:pPr>
                            <w:pStyle w:val="Contedodoquadrouser"/>
                            <w:spacing w:lineRule="auto" w:line="240" w:before="360" w:after="0"/>
                            <w:ind w:hanging="4" w:left="2"/>
                            <w:jc w:val="both"/>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pPr>
                          <w:r>
                            <w:rPr>
                              <w:rFonts w:eastAsia="Algerian" w:cs="Algerian" w:ascii="Algerian" w:hAnsi="Algerian"/>
                              <w:i/>
                              <w:color w:val="000000"/>
                              <w:sz w:val="32"/>
                            </w:rPr>
                            <w:t>ESTADO DO PARANÁ</w:t>
                          </w:r>
                        </w:p>
                        <w:p>
                          <w:pPr>
                            <w:pStyle w:val="Contedodoquadrouser"/>
                            <w:spacing w:lineRule="auto" w:line="240"/>
                            <w:ind w:hanging="2" w:left="0"/>
                            <w:rPr>
                              <w:color w:val="000000"/>
                            </w:rPr>
                          </w:pPr>
                          <w:r>
                            <w:rPr>
                              <w:color w:val="000000"/>
                            </w:rPr>
                          </w:r>
                        </w:p>
                      </w:txbxContent>
                    </wps:txbx>
                    <wps:bodyPr anchor="t">
                      <a:noAutofit/>
                    </wps:bodyPr>
                  </wps:wsp>
                </a:graphicData>
              </a:graphic>
            </wp:anchor>
          </w:drawing>
        </mc:Choice>
        <mc:Fallback>
          <w:pict>
            <v:rect id="shape_0" ID="Quadro2" path="m0,0l-2147483645,0l-2147483645,-2147483646l0,-2147483646xe" fillcolor="white" stroked="f" o:allowincell="f" style="position:absolute;margin-left:81.25pt;margin-top:-12.75pt;width:435.3pt;height:85.5pt;mso-wrap-style:square;v-text-anchor:top">
              <v:fill o:detectmouseclick="t" type="solid" color2="black" opacity="0"/>
              <v:stroke color="#3465a4" joinstyle="round" endcap="flat"/>
              <v:textbox>
                <w:txbxContent>
                  <w:p>
                    <w:pPr>
                      <w:pStyle w:val="Contedodoquadrouser"/>
                      <w:spacing w:lineRule="auto" w:line="240" w:before="360" w:after="0"/>
                      <w:ind w:hanging="4" w:left="2"/>
                      <w:jc w:val="both"/>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pPr>
                    <w:r>
                      <w:rPr>
                        <w:rFonts w:eastAsia="Algerian" w:cs="Algerian" w:ascii="Algerian" w:hAnsi="Algerian"/>
                        <w:i/>
                        <w:color w:val="000000"/>
                        <w:sz w:val="32"/>
                      </w:rPr>
                      <w:t>ESTADO DO PARANÁ</w:t>
                    </w:r>
                  </w:p>
                  <w:p>
                    <w:pPr>
                      <w:pStyle w:val="Contedodoquadrouser"/>
                      <w:spacing w:lineRule="auto" w:line="240"/>
                      <w:ind w:hanging="2" w:left="0"/>
                      <w:rPr>
                        <w:color w:val="000000"/>
                      </w:rPr>
                    </w:pPr>
                    <w:r>
                      <w:rPr>
                        <w:color w:val="000000"/>
                      </w:rPr>
                    </w:r>
                  </w:p>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16">
          <wp:simplePos x="0" y="0"/>
          <wp:positionH relativeFrom="column">
            <wp:posOffset>-135255</wp:posOffset>
          </wp:positionH>
          <wp:positionV relativeFrom="paragraph">
            <wp:posOffset>635</wp:posOffset>
          </wp:positionV>
          <wp:extent cx="908050" cy="1057275"/>
          <wp:effectExtent l="0" t="0" r="0" b="0"/>
          <wp:wrapNone/>
          <wp:docPr id="4"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descr=""/>
                  <pic:cNvPicPr>
                    <a:picLocks noChangeAspect="1" noChangeArrowheads="1"/>
                  </pic:cNvPicPr>
                </pic:nvPicPr>
                <pic:blipFill>
                  <a:blip r:embed="rId1"/>
                  <a:stretch>
                    <a:fillRect/>
                  </a:stretch>
                </pic:blipFill>
                <pic:spPr bwMode="auto">
                  <a:xfrm>
                    <a:off x="0" y="0"/>
                    <a:ext cx="908050" cy="1057275"/>
                  </a:xfrm>
                  <a:prstGeom prst="rect">
                    <a:avLst/>
                  </a:prstGeom>
                  <a:noFill/>
                </pic:spPr>
              </pic:pic>
            </a:graphicData>
          </a:graphic>
        </wp:anchor>
      </w:drawing>
      <mc:AlternateContent>
        <mc:Choice Requires="wps">
          <w:drawing>
            <wp:anchor behindDoc="1" distT="0" distB="0" distL="0" distR="0" simplePos="0" locked="0" layoutInCell="1" allowOverlap="1" relativeHeight="45">
              <wp:simplePos x="0" y="0"/>
              <wp:positionH relativeFrom="column">
                <wp:posOffset>1031875</wp:posOffset>
              </wp:positionH>
              <wp:positionV relativeFrom="paragraph">
                <wp:posOffset>-161925</wp:posOffset>
              </wp:positionV>
              <wp:extent cx="5528945" cy="1086485"/>
              <wp:effectExtent l="0" t="0" r="0" b="0"/>
              <wp:wrapNone/>
              <wp:docPr id="5" name="Quadro2"/>
              <a:graphic xmlns:a="http://schemas.openxmlformats.org/drawingml/2006/main">
                <a:graphicData uri="http://schemas.microsoft.com/office/word/2010/wordprocessingShape">
                  <wps:wsp>
                    <wps:cNvSpPr/>
                    <wps:spPr>
                      <a:xfrm>
                        <a:off x="0" y="0"/>
                        <a:ext cx="5528880" cy="1086480"/>
                      </a:xfrm>
                      <a:prstGeom prst="rect">
                        <a:avLst/>
                      </a:prstGeom>
                      <a:noFill/>
                      <a:ln w="0">
                        <a:noFill/>
                      </a:ln>
                    </wps:spPr>
                    <wps:style>
                      <a:lnRef idx="0"/>
                      <a:fillRef idx="0"/>
                      <a:effectRef idx="0"/>
                      <a:fontRef idx="minor"/>
                    </wps:style>
                    <wps:txbx>
                      <w:txbxContent>
                        <w:p>
                          <w:pPr>
                            <w:pStyle w:val="Contedodoquadrouser"/>
                            <w:spacing w:lineRule="auto" w:line="240" w:before="360" w:after="0"/>
                            <w:ind w:hanging="4" w:left="2"/>
                            <w:jc w:val="both"/>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pPr>
                          <w:r>
                            <w:rPr>
                              <w:rFonts w:eastAsia="Algerian" w:cs="Algerian" w:ascii="Algerian" w:hAnsi="Algerian"/>
                              <w:i/>
                              <w:color w:val="000000"/>
                              <w:sz w:val="32"/>
                            </w:rPr>
                            <w:t>ESTADO DO PARANÁ</w:t>
                          </w:r>
                        </w:p>
                        <w:p>
                          <w:pPr>
                            <w:pStyle w:val="Contedodoquadrouser"/>
                            <w:spacing w:lineRule="auto" w:line="240"/>
                            <w:ind w:hanging="2" w:left="0"/>
                            <w:rPr>
                              <w:color w:val="000000"/>
                            </w:rPr>
                          </w:pPr>
                          <w:r>
                            <w:rPr>
                              <w:color w:val="000000"/>
                            </w:rPr>
                          </w:r>
                        </w:p>
                      </w:txbxContent>
                    </wps:txbx>
                    <wps:bodyPr anchor="t">
                      <a:noAutofit/>
                    </wps:bodyPr>
                  </wps:wsp>
                </a:graphicData>
              </a:graphic>
            </wp:anchor>
          </w:drawing>
        </mc:Choice>
        <mc:Fallback>
          <w:pict>
            <v:rect id="shape_0" ID="Quadro2" path="m0,0l-2147483645,0l-2147483645,-2147483646l0,-2147483646xe" fillcolor="white" stroked="f" o:allowincell="f" style="position:absolute;margin-left:81.25pt;margin-top:-12.75pt;width:435.3pt;height:85.5pt;mso-wrap-style:square;v-text-anchor:top">
              <v:fill o:detectmouseclick="t" type="solid" color2="black" opacity="0"/>
              <v:stroke color="#3465a4" joinstyle="round" endcap="flat"/>
              <v:textbox>
                <w:txbxContent>
                  <w:p>
                    <w:pPr>
                      <w:pStyle w:val="Contedodoquadrouser"/>
                      <w:spacing w:lineRule="auto" w:line="240" w:before="360" w:after="0"/>
                      <w:ind w:hanging="4" w:left="2"/>
                      <w:jc w:val="both"/>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pPr>
                    <w:r>
                      <w:rPr>
                        <w:rFonts w:eastAsia="Algerian" w:cs="Algerian" w:ascii="Algerian" w:hAnsi="Algerian"/>
                        <w:i/>
                        <w:color w:val="000000"/>
                        <w:sz w:val="32"/>
                      </w:rPr>
                      <w:t>ESTADO DO PARANÁ</w:t>
                    </w:r>
                  </w:p>
                  <w:p>
                    <w:pPr>
                      <w:pStyle w:val="Contedodoquadrouser"/>
                      <w:spacing w:lineRule="auto" w:line="240"/>
                      <w:ind w:hanging="2" w:left="0"/>
                      <w:rPr>
                        <w:color w:val="000000"/>
                      </w:rPr>
                    </w:pPr>
                    <w:r>
                      <w:rPr>
                        <w:color w:val="000000"/>
                      </w:rPr>
                    </w:r>
                  </w:p>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settings.xml><?xml version="1.0" encoding="utf-8"?>
<w:settings xmlns:w="http://schemas.openxmlformats.org/wordprocessingml/2006/main">
  <w:zoom w:percent="110"/>
  <w:defaultTabStop w:val="720"/>
  <w:autoHyphenation w:val="true"/>
  <w:hyphenationZone w:val="360"/>
  <w:compat>
    <w:doNotBreakWrappedTab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tLeast" w:line="1" w:before="0" w:after="0"/>
      <w:ind w:hanging="1" w:left="-1"/>
      <w:jc w:val="left"/>
      <w:textAlignment w:val="top"/>
      <w:outlineLvl w:val="0"/>
    </w:pPr>
    <w:rPr>
      <w:rFonts w:ascii="Times New Roman" w:hAnsi="Times New Roman" w:eastAsia="Times New Roman" w:cs="Times New Roman"/>
      <w:color w:val="auto"/>
      <w:kern w:val="0"/>
      <w:position w:val="-1"/>
      <w:sz w:val="24"/>
      <w:szCs w:val="24"/>
      <w:lang w:val="pt-BR" w:eastAsia="pt-BR" w:bidi="ar-SA"/>
    </w:rPr>
  </w:style>
  <w:style w:type="paragraph" w:styleId="Heading1">
    <w:name w:val="heading 1"/>
    <w:basedOn w:val="Normal"/>
    <w:next w:val="Normal"/>
    <w:qFormat/>
    <w:pPr>
      <w:keepNext w:val="true"/>
      <w:ind w:left="3969"/>
      <w:jc w:val="both"/>
    </w:pPr>
    <w:rPr>
      <w:b/>
      <w:szCs w:val="20"/>
      <w:u w:val="single"/>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spacing w:before="240" w:after="60"/>
      <w:outlineLvl w:val="2"/>
    </w:pPr>
    <w:rPr>
      <w:rFonts w:ascii="Calibri Light" w:hAnsi="Calibri Light"/>
      <w:b/>
      <w:bCs/>
      <w:sz w:val="26"/>
      <w:szCs w:val="26"/>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unhideWhenUsed/>
    <w:qFormat/>
    <w:rPr/>
  </w:style>
  <w:style w:type="character" w:styleId="CabealhoChar" w:customStyle="1">
    <w:name w:val="Cabeçalho Char"/>
    <w:qFormat/>
    <w:rPr>
      <w:w w:val="100"/>
      <w:position w:val="0"/>
      <w:sz w:val="24"/>
      <w:sz w:val="24"/>
      <w:szCs w:val="24"/>
      <w:effect w:val="none"/>
      <w:vertAlign w:val="baseline"/>
      <w:em w:val="none"/>
    </w:rPr>
  </w:style>
  <w:style w:type="character" w:styleId="RodapChar" w:customStyle="1">
    <w:name w:val="Rodapé Char"/>
    <w:qFormat/>
    <w:rPr>
      <w:w w:val="100"/>
      <w:position w:val="0"/>
      <w:sz w:val="24"/>
      <w:sz w:val="24"/>
      <w:szCs w:val="24"/>
      <w:effect w:val="none"/>
      <w:vertAlign w:val="baseline"/>
      <w:em w:val="none"/>
    </w:rPr>
  </w:style>
  <w:style w:type="character" w:styleId="TextodebaloChar" w:customStyle="1">
    <w:name w:val="Texto de balão Char"/>
    <w:qFormat/>
    <w:rPr>
      <w:rFonts w:ascii="Segoe UI" w:hAnsi="Segoe UI" w:cs="Segoe UI"/>
      <w:w w:val="100"/>
      <w:position w:val="0"/>
      <w:sz w:val="18"/>
      <w:sz w:val="18"/>
      <w:szCs w:val="18"/>
      <w:effect w:val="none"/>
      <w:vertAlign w:val="baseline"/>
      <w:em w:val="none"/>
    </w:rPr>
  </w:style>
  <w:style w:type="character" w:styleId="Ttulo3Char" w:customStyle="1">
    <w:name w:val="Título 3 Char"/>
    <w:qFormat/>
    <w:rPr>
      <w:rFonts w:ascii="Calibri Light" w:hAnsi="Calibri Light" w:eastAsia="Times New Roman" w:cs="Times New Roman"/>
      <w:b/>
      <w:bCs/>
      <w:w w:val="100"/>
      <w:position w:val="0"/>
      <w:sz w:val="26"/>
      <w:sz w:val="26"/>
      <w:szCs w:val="26"/>
      <w:effect w:val="none"/>
      <w:vertAlign w:val="baseline"/>
      <w:em w:val="none"/>
    </w:rPr>
  </w:style>
  <w:style w:type="character" w:styleId="Recuodecorpodetexto3Char" w:customStyle="1">
    <w:name w:val="Recuo de corpo de texto 3 Char"/>
    <w:qFormat/>
    <w:rPr>
      <w:w w:val="100"/>
      <w:position w:val="0"/>
      <w:sz w:val="16"/>
      <w:sz w:val="16"/>
      <w:szCs w:val="16"/>
      <w:effect w:val="none"/>
      <w:vertAlign w:val="baseline"/>
      <w:em w:val="none"/>
    </w:rPr>
  </w:style>
  <w:style w:type="character" w:styleId="Hyperlink">
    <w:name w:val="Hyperlink"/>
    <w:basedOn w:val="DefaultParagraphFont"/>
    <w:uiPriority w:val="99"/>
    <w:unhideWhenUsed/>
    <w:rsid w:val="00207734"/>
    <w:rPr>
      <w:color w:themeColor="hyperlink" w:val="0000FF"/>
      <w:u w:val="single"/>
    </w:rPr>
  </w:style>
  <w:style w:type="character" w:styleId="CorpodetextoChar" w:customStyle="1">
    <w:name w:val="Corpo de texto Char"/>
    <w:basedOn w:val="DefaultParagraphFont"/>
    <w:uiPriority w:val="99"/>
    <w:semiHidden/>
    <w:qFormat/>
    <w:rsid w:val="005a6613"/>
    <w:rPr>
      <w:vertAlign w:val="subscript"/>
    </w:rPr>
  </w:style>
  <w:style w:type="character" w:styleId="Citao1" w:customStyle="1">
    <w:name w:val="Citação1"/>
    <w:qFormat/>
    <w:rPr>
      <w:i/>
      <w:iCs/>
    </w:rPr>
  </w:style>
  <w:style w:type="character" w:styleId="Fontepargpadro2" w:customStyle="1">
    <w:name w:val="Fonte parág. padrão2"/>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semiHidden/>
    <w:unhideWhenUsed/>
    <w:rsid w:val="005a6613"/>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tulouser" w:customStyle="1">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customStyle="1">
    <w:name w:val="Índice (user)"/>
    <w:basedOn w:val="Normal"/>
    <w:qFormat/>
    <w:pPr>
      <w:suppressLineNumbers/>
    </w:pPr>
    <w:rPr>
      <w:rFonts w:cs="Arial"/>
    </w:rPr>
  </w:style>
  <w:style w:type="paragraph" w:styleId="Title">
    <w:name w:val="Title"/>
    <w:basedOn w:val="Normal"/>
    <w:next w:val="BodyText"/>
    <w:qFormat/>
    <w:pPr>
      <w:keepNext w:val="true"/>
      <w:keepLines/>
      <w:spacing w:before="480" w:after="120"/>
    </w:pPr>
    <w:rPr>
      <w:b/>
      <w:sz w:val="72"/>
      <w:szCs w:val="72"/>
    </w:rPr>
  </w:style>
  <w:style w:type="paragraph" w:styleId="BodyTextIndent">
    <w:name w:val="Body Text Indent"/>
    <w:basedOn w:val="Normal"/>
    <w:pPr>
      <w:ind w:firstLine="3118" w:left="851"/>
      <w:jc w:val="both"/>
    </w:pPr>
    <w:rPr>
      <w:sz w:val="28"/>
      <w:szCs w:val="20"/>
    </w:rPr>
  </w:style>
  <w:style w:type="paragraph" w:styleId="BodyTextIndent2">
    <w:name w:val="Body Text Indent 2"/>
    <w:basedOn w:val="Normal"/>
    <w:qFormat/>
    <w:pPr>
      <w:ind w:firstLine="2889" w:left="1080"/>
      <w:jc w:val="both"/>
    </w:pPr>
    <w:rPr>
      <w:bCs/>
      <w:sz w:val="25"/>
      <w:szCs w:val="28"/>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customStyle="1">
    <w:name w:val="Cabeçalho e rodapé9"/>
    <w:basedOn w:val="Normal"/>
    <w:qFormat/>
    <w:pPr/>
    <w:rPr/>
  </w:style>
  <w:style w:type="paragraph" w:styleId="Cabealhoerodap10" w:customStyle="1">
    <w:name w:val="Cabeçalho e rodapé10"/>
    <w:basedOn w:val="Normal"/>
    <w:qFormat/>
    <w:pPr/>
    <w:rPr/>
  </w:style>
  <w:style w:type="paragraph" w:styleId="Cabealhoerodap11" w:customStyle="1">
    <w:name w:val="Cabeçalho e rodapé11"/>
    <w:basedOn w:val="Normal"/>
    <w:qFormat/>
    <w:pPr/>
    <w:rPr/>
  </w:style>
  <w:style w:type="paragraph" w:styleId="Cabealhoerodap12">
    <w:name w:val="Cabeçalho e rodapé12"/>
    <w:basedOn w:val="Normal"/>
    <w:qFormat/>
    <w:pPr/>
    <w:rPr/>
  </w:style>
  <w:style w:type="paragraph" w:styleId="Cabealhoerodap13">
    <w:name w:val="Cabeçalho e rodapé13"/>
    <w:basedOn w:val="Normal"/>
    <w:qFormat/>
    <w:pPr/>
    <w:rPr/>
  </w:style>
  <w:style w:type="paragraph" w:styleId="Header">
    <w:name w:val="header"/>
    <w:basedOn w:val="Normal"/>
    <w:qFormat/>
    <w:pPr>
      <w:tabs>
        <w:tab w:val="clear" w:pos="720"/>
        <w:tab w:val="center" w:pos="4252" w:leader="none"/>
        <w:tab w:val="right" w:pos="8504" w:leader="none"/>
      </w:tabs>
    </w:pPr>
    <w:rPr/>
  </w:style>
  <w:style w:type="paragraph" w:styleId="Footer">
    <w:name w:val="footer"/>
    <w:basedOn w:val="Normal"/>
    <w:qFormat/>
    <w:pPr>
      <w:tabs>
        <w:tab w:val="clear" w:pos="720"/>
        <w:tab w:val="center" w:pos="4252" w:leader="none"/>
        <w:tab w:val="right" w:pos="8504" w:leader="none"/>
      </w:tabs>
    </w:pPr>
    <w:rPr/>
  </w:style>
  <w:style w:type="paragraph" w:styleId="BalloonText">
    <w:name w:val="Balloon Text"/>
    <w:basedOn w:val="Normal"/>
    <w:qFormat/>
    <w:pPr/>
    <w:rPr>
      <w:rFonts w:ascii="Segoe UI" w:hAnsi="Segoe UI"/>
      <w:sz w:val="18"/>
      <w:szCs w:val="18"/>
    </w:rPr>
  </w:style>
  <w:style w:type="paragraph" w:styleId="BodyTextIndent3">
    <w:name w:val="Body Text Indent 3"/>
    <w:basedOn w:val="Normal"/>
    <w:qFormat/>
    <w:pPr>
      <w:spacing w:before="0" w:after="120"/>
      <w:ind w:left="283"/>
    </w:pPr>
    <w:rPr>
      <w:sz w:val="16"/>
      <w:szCs w:val="16"/>
    </w:rPr>
  </w:style>
  <w:style w:type="paragraph" w:styleId="Default" w:customStyle="1">
    <w:name w:val="Default"/>
    <w:qFormat/>
    <w:pPr>
      <w:widowControl/>
      <w:suppressAutoHyphens w:val="true"/>
      <w:bidi w:val="0"/>
      <w:spacing w:lineRule="atLeast" w:line="1" w:before="0" w:after="0"/>
      <w:ind w:hanging="1" w:left="-1"/>
      <w:jc w:val="left"/>
      <w:textAlignment w:val="top"/>
      <w:outlineLvl w:val="0"/>
    </w:pPr>
    <w:rPr>
      <w:rFonts w:ascii="Nyala" w:hAnsi="Nyala" w:eastAsia="Calibri" w:cs="Nyala"/>
      <w:color w:val="000000"/>
      <w:kern w:val="0"/>
      <w:position w:val="-1"/>
      <w:sz w:val="24"/>
      <w:szCs w:val="24"/>
      <w:lang w:val="pt-BR" w:eastAsia="en-US" w:bidi="ar-SA"/>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1"/>
    <w:qFormat/>
    <w:rsid w:val="00fd4bc0"/>
    <w:pPr>
      <w:widowControl w:val="false"/>
      <w:suppressAutoHyphens w:val="false"/>
      <w:spacing w:lineRule="auto" w:line="240" w:before="120" w:after="0"/>
      <w:ind w:hanging="0" w:left="398"/>
      <w:jc w:val="both"/>
      <w:textAlignment w:val="auto"/>
      <w:outlineLvl w:val="9"/>
    </w:pPr>
    <w:rPr>
      <w:rFonts w:ascii="Calibri" w:hAnsi="Calibri" w:eastAsia="Calibri" w:cs="Calibri"/>
      <w:sz w:val="22"/>
      <w:szCs w:val="22"/>
      <w:lang w:val="pt-PT" w:eastAsia="en-US"/>
    </w:rPr>
  </w:style>
  <w:style w:type="paragraph" w:styleId="Contedodoquadrouser" w:customStyle="1">
    <w:name w:val="Conteúdo do quadro (user)"/>
    <w:basedOn w:val="Normal"/>
    <w:qFormat/>
    <w:pPr/>
    <w:rPr/>
  </w:style>
  <w:style w:type="paragraph" w:styleId="Contedodatabelauser" w:customStyle="1">
    <w:name w:val="Conteúdo da tabela (user)"/>
    <w:basedOn w:val="Normal"/>
    <w:qFormat/>
    <w:pPr>
      <w:widowControl w:val="false"/>
      <w:suppressLineNumbers/>
    </w:pPr>
    <w:rPr/>
  </w:style>
  <w:style w:type="paragraph" w:styleId="Ttulodetabelauser" w:customStyle="1">
    <w:name w:val="Título de tabela (user)"/>
    <w:basedOn w:val="Contedodatabelauser"/>
    <w:qFormat/>
    <w:pPr>
      <w:jc w:val="center"/>
    </w:pPr>
    <w:rPr>
      <w:b/>
      <w:bCs/>
    </w:rPr>
  </w:style>
  <w:style w:type="paragraph" w:styleId="Contedodoquadro" w:customStyle="1">
    <w:name w:val="Conteúdo do quadro"/>
    <w:basedOn w:val="Normal"/>
    <w:qFormat/>
    <w:pPr/>
    <w:rPr/>
  </w:style>
  <w:style w:type="paragraph" w:styleId="Contedodatabela" w:customStyle="1">
    <w:name w:val="Conteúdo da tabela"/>
    <w:basedOn w:val="Normal"/>
    <w:next w:val="Contedodoquadro"/>
    <w:qFormat/>
    <w:pPr>
      <w:suppressLineNumbers/>
    </w:pPr>
    <w:rPr/>
  </w:style>
  <w:style w:type="numbering" w:styleId="Semlistauser" w:default="1">
    <w:name w:val="Sem lista (user)"/>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Tabelacomgrade">
    <w:name w:val="Table Grid"/>
    <w:basedOn w:val="Tabelanormal"/>
    <w:uiPriority w:val="39"/>
    <w:rsid w:val="00307e7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bandeirantes.pr.gov.br/diario-oficial-eletronico" TargetMode="External"/><Relationship Id="rId3" Type="http://schemas.openxmlformats.org/officeDocument/2006/relationships/hyperlink" Target="http://www.yanmaq.com.br/"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planalto.gov.br/ccivil_03/leis/lcp/lcp123.htm"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wR77k/g+npfYuneaF/yCmO6mYow==">CgMxLjA4AHIhMWZETHJjTmtuX1JOTVg3NmZWOVQ0LUs5MGUxbU5kSGNQ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53B9B8-6089-4612-B777-02DE33D57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Application>LibreOffice/25.2.4.3$Windows_X86_64 LibreOffice_project/33e196637044ead23f5c3226cde09b47731f7e27</Application>
  <AppVersion>15.0000</AppVersion>
  <Pages>15</Pages>
  <Words>5970</Words>
  <Characters>33997</Characters>
  <CharactersWithSpaces>39858</CharactersWithSpaces>
  <Paragraphs>226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2024-05-14T13:51:00Z</dcterms:created>
  <dc:creator>x</dc:creator>
  <dc:description/>
  <dc:language>pt-BR</dc:language>
  <cp:lastModifiedBy/>
  <cp:lastPrinted>2025-06-26T09:44:29Z</cp:lastPrinted>
  <dcterms:modified xsi:type="dcterms:W3CDTF">2025-06-27T10:36:54Z</dcterms:modified>
  <cp:revision>52</cp:revision>
  <dc:subject/>
  <dc:title>Roundcube Webmail :: Re: solicitação de cotação de preços</dc:title>
</cp:coreProperties>
</file>

<file path=docProps/custom.xml><?xml version="1.0" encoding="utf-8"?>
<Properties xmlns="http://schemas.openxmlformats.org/officeDocument/2006/custom-properties" xmlns:vt="http://schemas.openxmlformats.org/officeDocument/2006/docPropsVTypes"/>
</file>